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D8642" w14:textId="77777777" w:rsidR="00D65C4F" w:rsidRDefault="002C32F2">
      <w:r>
        <w:rPr>
          <w:b/>
          <w:sz w:val="24"/>
        </w:rPr>
        <w:t>Supplementary Material S4: Leave-One-Out Sensitivity Analysis for the Catheter-Failure Outcome</w:t>
      </w:r>
    </w:p>
    <w:p w14:paraId="50045842" w14:textId="77777777" w:rsidR="00D65C4F" w:rsidRDefault="00D65C4F"/>
    <w:p w14:paraId="51BAC45A" w14:textId="77777777" w:rsidR="00D65C4F" w:rsidRDefault="002C32F2">
      <w:r>
        <w:t xml:space="preserve">Leave-one-out (LOO) random-effects sensitivity analysis was performed on the four studies contributing to the pooled catheter-failure estimate </w:t>
      </w:r>
      <w:r>
        <w:t>(DerSimonian–Laird τ², log-RR scale). Each row reports the pooled risk ratio (RR) and 95% confidence interval (CI) when the corresponding single study is removed from the model. The full-model pooled estimate (all four studies) was RR 1.225 (95% CI 0.995–1</w:t>
      </w:r>
      <w:r>
        <w:t>.508; p = 0.056; I² = 0.0%).</w:t>
      </w:r>
    </w:p>
    <w:p w14:paraId="050B8B83" w14:textId="77777777" w:rsidR="00D65C4F" w:rsidRDefault="00D65C4F"/>
    <w:p w14:paraId="26F3D9C3" w14:textId="77777777" w:rsidR="00D65C4F" w:rsidRDefault="002C32F2">
      <w:r>
        <w:rPr>
          <w:b/>
        </w:rPr>
        <w:t xml:space="preserve">Table S4. </w:t>
      </w:r>
      <w:r>
        <w:rPr>
          <w:b/>
        </w:rPr>
        <w:br/>
      </w:r>
      <w:r>
        <w:rPr>
          <w:i/>
        </w:rPr>
        <w:t>Leave-one-out (LOO) pooled risk ratios for the catheter-failure outcome (k = 4).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78"/>
        <w:gridCol w:w="1877"/>
        <w:gridCol w:w="1877"/>
        <w:gridCol w:w="1877"/>
        <w:gridCol w:w="1877"/>
      </w:tblGrid>
      <w:tr w:rsidR="00D65C4F" w14:paraId="5C3AE9D9" w14:textId="77777777" w:rsidTr="00D65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3F5D804" w14:textId="77777777" w:rsidR="00D65C4F" w:rsidRDefault="002C32F2">
            <w:r>
              <w:rPr>
                <w:sz w:val="20"/>
              </w:rPr>
              <w:t>Study excluded</w:t>
            </w:r>
          </w:p>
        </w:tc>
        <w:tc>
          <w:tcPr>
            <w:tcW w:w="1881" w:type="dxa"/>
          </w:tcPr>
          <w:p w14:paraId="396D0AEA" w14:textId="77777777" w:rsidR="00D65C4F" w:rsidRDefault="002C32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Weight in full model (%)</w:t>
            </w:r>
          </w:p>
        </w:tc>
        <w:tc>
          <w:tcPr>
            <w:tcW w:w="1881" w:type="dxa"/>
          </w:tcPr>
          <w:p w14:paraId="2748776B" w14:textId="77777777" w:rsidR="00D65C4F" w:rsidRDefault="002C32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Pooled RR [95% CI]</w:t>
            </w:r>
          </w:p>
        </w:tc>
        <w:tc>
          <w:tcPr>
            <w:tcW w:w="1881" w:type="dxa"/>
          </w:tcPr>
          <w:p w14:paraId="221A177E" w14:textId="77777777" w:rsidR="00D65C4F" w:rsidRDefault="002C32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p-value</w:t>
            </w:r>
          </w:p>
        </w:tc>
        <w:tc>
          <w:tcPr>
            <w:tcW w:w="1881" w:type="dxa"/>
          </w:tcPr>
          <w:p w14:paraId="5E040B86" w14:textId="77777777" w:rsidR="00D65C4F" w:rsidRDefault="002C32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I² (%)</w:t>
            </w:r>
          </w:p>
        </w:tc>
      </w:tr>
      <w:tr w:rsidR="00D65C4F" w14:paraId="4FF6EC8E" w14:textId="77777777" w:rsidTr="00D65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B29FF53" w14:textId="77777777" w:rsidR="00D65C4F" w:rsidRDefault="002C32F2">
            <w:r>
              <w:rPr>
                <w:sz w:val="20"/>
              </w:rPr>
              <w:t>Kleidon (2025)</w:t>
            </w:r>
          </w:p>
        </w:tc>
        <w:tc>
          <w:tcPr>
            <w:tcW w:w="1881" w:type="dxa"/>
          </w:tcPr>
          <w:p w14:paraId="7534F6A7" w14:textId="77777777" w:rsidR="00D65C4F" w:rsidRDefault="002C3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14.9%</w:t>
            </w:r>
          </w:p>
        </w:tc>
        <w:tc>
          <w:tcPr>
            <w:tcW w:w="1881" w:type="dxa"/>
          </w:tcPr>
          <w:p w14:paraId="0BE76D44" w14:textId="77777777" w:rsidR="00D65C4F" w:rsidRDefault="002C3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1.28 [1.02, 1.60]</w:t>
            </w:r>
          </w:p>
        </w:tc>
        <w:tc>
          <w:tcPr>
            <w:tcW w:w="1881" w:type="dxa"/>
          </w:tcPr>
          <w:p w14:paraId="48578246" w14:textId="77777777" w:rsidR="00D65C4F" w:rsidRDefault="002C3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0.0316</w:t>
            </w:r>
          </w:p>
        </w:tc>
        <w:tc>
          <w:tcPr>
            <w:tcW w:w="1881" w:type="dxa"/>
          </w:tcPr>
          <w:p w14:paraId="602D9696" w14:textId="77777777" w:rsidR="00D65C4F" w:rsidRDefault="002C3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0.0%</w:t>
            </w:r>
          </w:p>
        </w:tc>
      </w:tr>
      <w:tr w:rsidR="00D65C4F" w14:paraId="4E5A589B" w14:textId="77777777" w:rsidTr="00D65C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EDDEB49" w14:textId="77777777" w:rsidR="00D65C4F" w:rsidRDefault="002C32F2">
            <w:r>
              <w:rPr>
                <w:sz w:val="20"/>
              </w:rPr>
              <w:t>Shokooh</w:t>
            </w:r>
            <w:r>
              <w:rPr>
                <w:sz w:val="20"/>
              </w:rPr>
              <w:t>i (2019)</w:t>
            </w:r>
          </w:p>
        </w:tc>
        <w:tc>
          <w:tcPr>
            <w:tcW w:w="1881" w:type="dxa"/>
          </w:tcPr>
          <w:p w14:paraId="32983858" w14:textId="77777777" w:rsidR="00D65C4F" w:rsidRDefault="002C32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28.1%</w:t>
            </w:r>
          </w:p>
        </w:tc>
        <w:tc>
          <w:tcPr>
            <w:tcW w:w="1881" w:type="dxa"/>
          </w:tcPr>
          <w:p w14:paraId="14B6663B" w14:textId="77777777" w:rsidR="00D65C4F" w:rsidRDefault="002C32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1.19 [0.93, 1.52]</w:t>
            </w:r>
          </w:p>
        </w:tc>
        <w:tc>
          <w:tcPr>
            <w:tcW w:w="1881" w:type="dxa"/>
          </w:tcPr>
          <w:p w14:paraId="347CAC3E" w14:textId="77777777" w:rsidR="00D65C4F" w:rsidRDefault="002C32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0.159</w:t>
            </w:r>
          </w:p>
        </w:tc>
        <w:tc>
          <w:tcPr>
            <w:tcW w:w="1881" w:type="dxa"/>
          </w:tcPr>
          <w:p w14:paraId="2DE892F4" w14:textId="77777777" w:rsidR="00D65C4F" w:rsidRDefault="002C32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0.0%</w:t>
            </w:r>
          </w:p>
        </w:tc>
      </w:tr>
      <w:tr w:rsidR="00D65C4F" w14:paraId="02586F02" w14:textId="77777777" w:rsidTr="00D65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B061476" w14:textId="77777777" w:rsidR="00D65C4F" w:rsidRDefault="002C32F2">
            <w:r>
              <w:rPr>
                <w:sz w:val="20"/>
              </w:rPr>
              <w:t>Leroux (2023)</w:t>
            </w:r>
          </w:p>
        </w:tc>
        <w:tc>
          <w:tcPr>
            <w:tcW w:w="1881" w:type="dxa"/>
          </w:tcPr>
          <w:p w14:paraId="334BF11F" w14:textId="77777777" w:rsidR="00D65C4F" w:rsidRDefault="002C3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7.2%</w:t>
            </w:r>
          </w:p>
        </w:tc>
        <w:tc>
          <w:tcPr>
            <w:tcW w:w="1881" w:type="dxa"/>
          </w:tcPr>
          <w:p w14:paraId="036E0EA7" w14:textId="77777777" w:rsidR="00D65C4F" w:rsidRDefault="002C3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1.23 [0.99, 1.52]</w:t>
            </w:r>
          </w:p>
        </w:tc>
        <w:tc>
          <w:tcPr>
            <w:tcW w:w="1881" w:type="dxa"/>
          </w:tcPr>
          <w:p w14:paraId="3034CEB9" w14:textId="77777777" w:rsidR="00D65C4F" w:rsidRDefault="002C3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0.0626</w:t>
            </w:r>
          </w:p>
        </w:tc>
        <w:tc>
          <w:tcPr>
            <w:tcW w:w="1881" w:type="dxa"/>
          </w:tcPr>
          <w:p w14:paraId="74EB4F91" w14:textId="77777777" w:rsidR="00D65C4F" w:rsidRDefault="002C3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0.0%</w:t>
            </w:r>
          </w:p>
        </w:tc>
      </w:tr>
      <w:tr w:rsidR="00D65C4F" w14:paraId="5D298999" w14:textId="77777777" w:rsidTr="00D65C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5A7409F" w14:textId="77777777" w:rsidR="00D65C4F" w:rsidRDefault="002C32F2">
            <w:r>
              <w:rPr>
                <w:sz w:val="20"/>
              </w:rPr>
              <w:t>Saltarelli (2015)</w:t>
            </w:r>
          </w:p>
        </w:tc>
        <w:tc>
          <w:tcPr>
            <w:tcW w:w="1881" w:type="dxa"/>
          </w:tcPr>
          <w:p w14:paraId="4C66E3A3" w14:textId="77777777" w:rsidR="00D65C4F" w:rsidRDefault="002C32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49.8%</w:t>
            </w:r>
          </w:p>
        </w:tc>
        <w:tc>
          <w:tcPr>
            <w:tcW w:w="1881" w:type="dxa"/>
          </w:tcPr>
          <w:p w14:paraId="2237C6D3" w14:textId="77777777" w:rsidR="00D65C4F" w:rsidRDefault="002C32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1.18 [0.88, 1.58]</w:t>
            </w:r>
          </w:p>
        </w:tc>
        <w:tc>
          <w:tcPr>
            <w:tcW w:w="1881" w:type="dxa"/>
          </w:tcPr>
          <w:p w14:paraId="50D341A0" w14:textId="77777777" w:rsidR="00D65C4F" w:rsidRDefault="002C32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0.277</w:t>
            </w:r>
          </w:p>
        </w:tc>
        <w:tc>
          <w:tcPr>
            <w:tcW w:w="1881" w:type="dxa"/>
          </w:tcPr>
          <w:p w14:paraId="53898113" w14:textId="77777777" w:rsidR="00D65C4F" w:rsidRDefault="002C32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0.0%</w:t>
            </w:r>
          </w:p>
        </w:tc>
      </w:tr>
    </w:tbl>
    <w:p w14:paraId="1D90884D" w14:textId="77777777" w:rsidR="00D65C4F" w:rsidRDefault="00D65C4F"/>
    <w:p w14:paraId="4CC9C405" w14:textId="77777777" w:rsidR="00D65C4F" w:rsidRDefault="002C32F2">
      <w:r>
        <w:rPr>
          <w:b/>
        </w:rPr>
        <w:t>Footnotes:</w:t>
      </w:r>
    </w:p>
    <w:p w14:paraId="7371C9AE" w14:textId="77777777" w:rsidR="00D65C4F" w:rsidRDefault="002C32F2">
      <w:pPr>
        <w:pStyle w:val="a0"/>
      </w:pPr>
      <w:r>
        <w:rPr>
          <w:sz w:val="20"/>
        </w:rPr>
        <w:t xml:space="preserve">CI, confidence interval; I², between-study heterogeneity statistic; LOO, </w:t>
      </w:r>
      <w:r>
        <w:rPr>
          <w:sz w:val="20"/>
        </w:rPr>
        <w:t>leave-one-out; RR, risk ratio.</w:t>
      </w:r>
    </w:p>
    <w:p w14:paraId="6F531E8E" w14:textId="77777777" w:rsidR="00D65C4F" w:rsidRDefault="002C32F2">
      <w:pPr>
        <w:pStyle w:val="a0"/>
      </w:pPr>
      <w:r>
        <w:rPr>
          <w:sz w:val="20"/>
        </w:rPr>
        <w:t>Model: DerSimonian–Laird random-effects on log(RR); single-study removal.</w:t>
      </w:r>
    </w:p>
    <w:p w14:paraId="62C821A6" w14:textId="77777777" w:rsidR="00D65C4F" w:rsidRDefault="002C32F2">
      <w:pPr>
        <w:pStyle w:val="a0"/>
      </w:pPr>
      <w:r>
        <w:rPr>
          <w:sz w:val="20"/>
        </w:rPr>
        <w:t>p-values are two-sided Wald-type tests on the pooled log-RR.</w:t>
      </w:r>
    </w:p>
    <w:p w14:paraId="32BFC515" w14:textId="77777777" w:rsidR="00D65C4F" w:rsidRDefault="002C32F2">
      <w:pPr>
        <w:pStyle w:val="a0"/>
      </w:pPr>
      <w:r>
        <w:rPr>
          <w:sz w:val="20"/>
        </w:rPr>
        <w:t>Saltarelli (2015) carried 49.8% of the full-model weight; removing it attenuated the poole</w:t>
      </w:r>
      <w:r>
        <w:rPr>
          <w:sz w:val="20"/>
        </w:rPr>
        <w:t>d estimate to RR 1.18 (95% CI 0.88–1.58, p = 0.28), indicating that the borderline catheter-failure signal depends substantially on this single largest study.</w:t>
      </w:r>
    </w:p>
    <w:p w14:paraId="01F88010" w14:textId="77777777" w:rsidR="00D65C4F" w:rsidRDefault="002C32F2">
      <w:pPr>
        <w:pStyle w:val="a0"/>
      </w:pPr>
      <w:r>
        <w:rPr>
          <w:sz w:val="20"/>
        </w:rPr>
        <w:t>All four contributing studies (Kleidon 2025, Shokoohi 2019, Leroux 2023, Saltarelli 2015) are rep</w:t>
      </w:r>
      <w:r>
        <w:rPr>
          <w:sz w:val="20"/>
        </w:rPr>
        <w:t>orted in Table 1 of the main manuscript and in the PRISMA flow diagram.</w:t>
      </w:r>
    </w:p>
    <w:p w14:paraId="35559997" w14:textId="77777777" w:rsidR="00D65C4F" w:rsidRDefault="002C32F2">
      <w:pPr>
        <w:pStyle w:val="a0"/>
      </w:pPr>
      <w:r>
        <w:rPr>
          <w:sz w:val="20"/>
        </w:rPr>
        <w:t>Full R analysis script: scripts/04_meta_analysis.R; underlying data: output/SupTable_LOO_catheter_failure.csv.</w:t>
      </w:r>
    </w:p>
    <w:sectPr w:rsidR="00D65C4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2F2"/>
    <w:rsid w:val="00326F90"/>
    <w:rsid w:val="00AA1D8D"/>
    <w:rsid w:val="00B47730"/>
    <w:rsid w:val="00CB0664"/>
    <w:rsid w:val="00D65C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5488A"/>
  <w14:defaultImageDpi w14:val="300"/>
  <w15:docId w15:val="{7574D48A-AF8E-4C15-9C6F-5ACF868E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陳柏銘</cp:lastModifiedBy>
  <cp:revision>2</cp:revision>
  <dcterms:created xsi:type="dcterms:W3CDTF">2026-05-14T00:22:00Z</dcterms:created>
  <dcterms:modified xsi:type="dcterms:W3CDTF">2026-05-14T00:22:00Z</dcterms:modified>
  <cp:category/>
</cp:coreProperties>
</file>