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t>Fifteen</w:t>
      </w:r>
      <w:r>
        <w:t xml:space="preserve"> studies (</w:t>
      </w:r>
      <w:r>
        <w:t>6</w:t>
      </w:r>
      <w:r>
        <w:t xml:space="preserve"> randomized trials, 9 cohort studies; </w:t>
      </w:r>
      <w:r>
        <w:t>78,591</w:t>
      </w:r>
      <w:r>
        <w:t xml:space="preserve"> participants) were included </w:t>
      </w:r>
      <w:r>
        <w:t>in the qualitative synthesis</w:t>
      </w:r>
      <w:r>
        <w:t>. Catheter failure did not differ significantly between USG and landmark groups (k = 4; RR 1.23, 95% CI 1.00–1.51; p = 0.056), although the estimate was sensitive to model choice and to exclusion of the largest contributing study. Dwell time and extravasation were not pooled because of substantial heterogeneity (I² = 91.9% and 95.7%, respectively). Infiltration did not differ significantly (</w:t>
      </w:r>
      <w: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[4-6].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report (Kleidon et al., J Vasc Access, 2022 [11], a conference abstract) was identified and excluded earlier at the title/abstract screening stage.</w:t>
      </w:r>
      <w:r>
        <w:t xml:space="preserve"> Two studies (Desai et al., 2018 [14]; Nishizawa et al., 2020 [15]) were not available through initial institutional access but were subsequently retrieved via interlibrary loan and included in the final analysis (see Supplementary Material S3). </w:t>
      </w:r>
      <w: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Risk of bias for RCTs was assessed using the Cochrane Risk of Bias 2 (RoB 2) tool (Figure 1A) across five domains: randomization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t>I²</w:t>
      </w:r>
      <w:r>
        <w:t xml:space="preserve"> statistic, with values of 25%, 50%, and 75% representing low, moderate, and high heterogeneity, respectively. Outcomes with </w:t>
      </w:r>
      <w: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t>version 4.5.3</w:t>
      </w:r>
      <w:r>
        <w:t xml:space="preserve">) with the meta </w:t>
      </w:r>
      <w:r>
        <w:t>[31]</w:t>
      </w:r>
      <w:r>
        <w:t xml:space="preserve"> and metafor </w:t>
      </w:r>
      <w:r>
        <w:t>[32]</w:t>
      </w:r>
      <w:r>
        <w:t xml:space="preserve"> packages. A two-sided p-value &lt; 0.05 was considered statistically significant.</w:t>
      </w:r>
    </w:p>
    <w:p>
      <w:r>
        <w:t>The DerSimonian-Laird (DL) estimator was the pre-specified primary approach in our PROSPERO protocol, reflecting standard practice in systematic reviews at the time of registration. After the initial analytic run, we recognized that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t>4</w:t>
      </w:r>
      <w:r>
        <w:t xml:space="preserve"> were excluded at the full-text stage (1 single-arm comparator absent, </w:t>
      </w:r>
      <w:r>
        <w:t>1 Portuguese-language companion report</w:t>
      </w:r>
      <w:r>
        <w:t xml:space="preserve">, 1 unpublished, 1 duplicate/protocol report of the same EPIC trial), and </w:t>
      </w:r>
      <w: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t>15</w:t>
      </w:r>
      <w:r>
        <w:t xml:space="preserve"> included studies comprised </w:t>
      </w:r>
      <w:r>
        <w:t>6</w:t>
      </w:r>
      <w:r>
        <w:t xml:space="preserve"> RCTs and 9 cohort studies, enrolling a total of </w:t>
      </w:r>
      <w:r>
        <w:t>78,591</w:t>
      </w:r>
      <w:r>
        <w:t xml:space="preserve"> participants (Table 1). Studies were conducted in Australia (n = 1), </w:t>
      </w:r>
      <w:r>
        <w:t xml:space="preserve">Brazil (n = 1), </w:t>
      </w:r>
      <w:r>
        <w:t xml:space="preserve">France (n = 1), India (n = 1), Italy (n = 2), Japan (n = 1), and the United States (n = 8). Seven studies enrolled adult participants and </w:t>
      </w:r>
      <w:r>
        <w:t>eight</w:t>
      </w:r>
      <w:r>
        <w:t xml:space="preserve"> enrolled pediatric patients. Settings included the emergency department (n = 8), intensive care unit (n = 3), inpatient hospital setting (n = 2), a quaternary children’s hospital (n = 1)</w:t>
      </w:r>
      <w:r>
        <w:t>, and a pediatric surgical unit (n = 1)</w:t>
      </w:r>
      <w:r>
        <w:t xml:space="preserve"> (Table 1). Six studies specifically enrolled DIVA populations, while the remainder included patients of mixed or all difficulty levels (Table 1).</w:t>
      </w:r>
    </w:p>
    <w:p>
      <w:r>
        <w:t xml:space="preserve">Full study characteristics are detailed in Table 1. Key features are summarized below. Among the </w:t>
      </w:r>
      <w:r>
        <w:t>six</w:t>
      </w:r>
      <w:r>
        <w:t xml:space="preserve"> RCTs, Kleidon et al. (2025) conducted the EPIC trial in 164 pediatric patients (Australia) [12]; Bridey et al. (2018) randomized 114 adult ICU DIVA patients (France) [16]; Varghese et al. (2025) enrolled 90 pediatric ED patients with two-hour follow-up only (India) [17]; Leroux et al. (2023) enrolled 223 adult ED patients (222 PIVCs analyzed) but was substantially underpowered (target 582; USA) [18]; and Nishizawa et al. (2020) randomized 60 adult ICU DIVA patients to nurse-performed USG versus standard care (Japan) [15], reporting post-insertion extravasation as a secondary outcome (13.6% vs 28.5%, p=0.394). </w:t>
      </w:r>
      <w:r>
        <w:t>Avelar et al. (2015) randomized 382 venipunctures in 335 pediatric surgical patients (Brazil) using identical 19-mm catheters in both arms, reporting infiltration and phlebitis as post-insertion outcomes [5].</w:t>
      </w:r>
    </w:p>
    <w:p>
      <w:r>
        <w:t>Among the nine cohort studies, Feinsmith et al. (2023) was the largest (n=43,470 adult DIVA patients; USA) [19]. Shokoohi et al. (2019) prospectively followed 330 adult ED patients with 72-hour follow-up, achieving the highest NOS score (9/9) [20]. Cottrell et al. (2021) is notable as the only unconfounded study reporting significantly longer USG dwell time (mean 96.1 vs. 59.4 hours; p&lt;0.001) using identical catheter types in both groups, though USG cases were disproportionately classified as difficult (75% vs. 36%) [21].</w:t>
      </w:r>
    </w:p>
    <w:p>
      <w:r>
        <w:t>Four cohort studies were identified as having major catheter-specification confounding (detailed in the section below): Dachepally et al. (2023) [22], Paladini et al. (2018) [23], Refosco et al. (2025) [24], and Desai et al. (2018) [14]. In all four, USG catheters were systematically longer or of different material than comparator catheters, rendering outcome differences unattributable to ultrasound guidance alone.</w:t>
      </w:r>
    </w:p>
    <w:p>
      <w:r>
        <w:rPr>
          <w:b/>
          <w:sz w:val="26"/>
        </w:rPr>
        <w:t>Risk of Bias</w:t>
      </w:r>
    </w:p>
    <w:p>
      <w:r>
        <w:t xml:space="preserve">Among the </w:t>
      </w:r>
      <w:r>
        <w:t>six</w:t>
      </w:r>
      <w:r>
        <w:t xml:space="preserve"> RCTs, </w:t>
      </w:r>
      <w:r>
        <w:t>five</w:t>
      </w:r>
      <w:r>
        <w:t xml:space="preserve"> were judged to have “some concerns” overall (Kleidon et al., 2025 [12]; Bridey et al., 2018 [16]; Varghese et al., 2025 [17]</w:t>
      </w:r>
      <w:r>
        <w:t>; Nishizawa et al., 2020 [15]; Avelar et al., 2015 [5]</w:t>
      </w:r>
      <w:r>
        <w:t>), primarily related to performance bias inherent in open-label designs where blinding of the operator is not feasible</w:t>
      </w:r>
      <w:r>
        <w:t>; for Avelar, complications in the USG arm were ascertained with ultrasound visualization whereas the landmark arm was assessed clinically, a differential outcome ascertainment that may bias the infiltration comparison</w:t>
      </w:r>
      <w:r>
        <w:t>. Leroux et al. (2023) was rated as high risk of bias due to substantial attrition and failure to reach the target sample size [18].</w:t>
      </w:r>
    </w:p>
    <w:p>
      <w:r>
        <w:t>Among the nine cohort studies, NOS scores ranged from 5 to 9 (Table 2). Shokoohi et al. (2019) achieved the maximum score of 9/9 [20]. Feinsmith et al. (2023) [19], Dachepally et al. (2023) [22], Paladini et al. (2018) [23], Cottrell et al. (2021) [21], and Refosco et al. (2025) [24] each scored 6/9, with points deducted primarily in the comparability domain (catheter type confounding for Dachepally, Paladini, and Refosco; difficulty-classification imbalance for Cottrell). Favot et al. (2019) [25], Saltarelli et al. (2015) [26], and Desai et al. (2018) [14] scored 5/9 (Table 2).</w:t>
      </w:r>
    </w:p>
    <w:p>
      <w:r>
        <w:rPr>
          <w:b/>
          <w:sz w:val="26"/>
        </w:rPr>
        <w:t>Meta-Analysis Results</w:t>
      </w:r>
    </w:p>
    <w:p>
      <w:r>
        <w:t>Primary Outcome: Catheter Failure</w:t>
      </w:r>
    </w:p>
    <w:p>
      <w:r>
        <w:t>Four studies reported catheter failure or premature removal as a dichotomous outcome and were eligible for pooling (Kleidon et al., 2025 [12]; Leroux et al., 2023 [18]; Shokoohi et al., 2019 [20]; Saltarelli et al., 2015 [26]). The pooled random-effects RR was 1.23 (95% CI 1.00–1.51; p = 0.056; I² = 0%), indicating no statistically significant difference between USG and landmark groups (Figure 3). Although the lower bound rounds to 1.00 at two decimal places, the precise value (0.995) confirms that the confidence interval crossed unity. The point estimate favored landmark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(Desai et al. 2018) [14]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p>
    <w:p>
      <w: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a specialized vascular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a generalizable effect of the guidance modality. Two additional studies reporting dwell time (Refosco 2025, Desai 2018) [14, 24] were excluded from this analysis due to catheter length confounding.</w:t>
      </w:r>
    </w:p>
    <w:p>
      <w:r>
        <w:t>Secondary Outcome: Infiltration</w:t>
      </w:r>
    </w:p>
    <w:p>
      <w:r>
        <w:t>Three</w:t>
      </w:r>
      <w:r>
        <w:t xml:space="preserve"> studies reported infiltration rates (Varghese et al., 2025 [17]; Saltarelli et al., 2015 [26]</w:t>
      </w:r>
      <w:r>
        <w:t>; Avelar et al., 2015 [5]</w:t>
      </w:r>
      <w:r>
        <w:t xml:space="preserve">). The pooled RR was </w:t>
      </w:r>
      <w:r>
        <w:t>1.30 (95% CI 0.82–2.05; p = 0.26; I² = 48.8%)</w:t>
      </w:r>
      <w:r>
        <w:t>, indicating no significant difference (Figure 5). Varghese et al. found a non-significant trend favoring USG (2.22% vs. 11.11%; p = 0.09) [17], while Saltarelli et al. reported a non-significant trend against USG (7.6% vs. 5.9%; OR 1.31, 95% CI 0.92–1.88) [26]</w:t>
      </w:r>
      <w: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Three studies reported extravasation events (Bridey et al. 2018, Favot et al. 2019, Nishizawa et al. 2020) [15, 16, 25];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 (Supplementary figure 1) [16]. Favot et al. reported contrast extravasation rates of 4.1% with USG versus 0.21% with standard PIVCs (RR 19.4, 95% CI 10.6–35.6), confined to a highly specific high-pressure CT contrast injection context (Supplementary figure 1) [25]. Nishizawa et al. reported a directionally opposite finding (13.6% vs 28.5%, p = 0.394) in a small ICU RCT (Supplementary figure 1) [15]. A formal meta-analytic pooling was performed for completeness and yielded an uninterpretable summary estimate (RR 2.75, 95% CI 0.29–26.28; I²=95.7%), confirming statistical incompatibility; this figure should not be read as a meaningful effect estimate (Supplementary Figure 1).</w:t>
      </w:r>
    </w:p>
    <w:p>
      <w:r>
        <w:t>Time-to-event-adjacent estimates (not pooled)</w:t>
      </w:r>
    </w:p>
    <w:p>
      <w:r>
        <w:t xml:space="preserve">Two studies reported effect estimates with a time-to-event component but using different statistical metrics, precluding meaningful meta-analytic pooling. Feinsmith et al. (2023) reported an adjusted hazard ratio (HR) of 0.91 (95% CI 0.87–0.95) favoring USG for catheter survival at 30 days, derived from a multivariable Cox proportional hazards model </w:t>
      </w:r>
      <w:r>
        <w:t>(Supplementary Figure 2)</w:t>
      </w:r>
      <w:r>
        <w:t xml:space="preserve">. Shokoohi et al. (2019) reported a premature removal risk ratio (RR) of 1.26 (95% CI 0.88–1.80) trending against USG at a fixed 72-hour follow-up window, a cumulative-incidence ratio rather than a hazard ratio </w:t>
      </w:r>
      <w: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Among adult studies (k = 3), the pooled RR was 1.28 (95% CI 1.02–1.60; p = 0.03), with the point estimate trending unfavorable to USG (Figure 6). Only one pediatric study (Kleidon et al., 2025) contributed to this outcome, with RR 0.95 suggesting no difference (Figure 6). The test for subgroup differences was not significant (p = 0.32), indicating that the observed adult-subgroup result should be interpreted as hypothesis-generating rather than confirmatory (Figure 6).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Dachepally et al. (2023) reported dramatically longer dwell times for USG catheters (median 219 vs. 108 hours; HR 2.20, 95% CI 1.45–3.34) in a pediatric ICU setting, but USG catheters were exclusively 4.4 cm in length compared with 1.9–3.2 cm in the traditional group [22].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Refosco et al. (</w:t>
      </w:r>
      <w:r>
        <w:t>2025</w:t>
      </w:r>
      <w:r>
        <w:t>) reported longer dwell times (5.3 ± 4.0 vs. 2.5 ± 1.8 days; p &lt; 0.001) and fewer complications (34% vs. 70%; p &lt; 0.001) with USG in a pediatric ED, but USG cannulas were predominantly 64 mm long peripheral catheters compared with 19-32 mm short cannulas in the blind group [24].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t>15</w:t>
      </w:r>
      <w:r>
        <w:rPr/>
        <w:t xml:space="preserve"> studies enrolling </w:t>
      </w:r>
      <w:r>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above 1.0 (Figure 3). Dwell time results were heterogeneous and could not be pooled (I² = 91.9%) (Figure 4).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t>Figure 4</w:t>
      </w:r>
      <w:r>
        <w:t>). Cottrell et al.’s findings should be interpreted within the appropriate clinical context, as patients in the ultrasound-guided group were more frequently classified as having difficult vascular access (75% vs. 36%) [21]. Additionally, the involvement of a specialized vascular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Dachepally et al. (2023) [22], Paladini et al. (2018) [23], Refosco et al. (2025) [24], and Desai et al. (2018) [14]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(I²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As reported above (Results, Catheter Failure), the post-hoc design-stratified analysis showed that the borderline overall failure signal arose from the cohort studies (RR 1.29, 95% CI 1.02–1.63) while the RCT-only estimate was flat (RR 1.03, 95% CI 0.66–1.61). The Feinsmith et al. (2023)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rPr/>
        <w:t xml:space="preserve">This review has several important limitations. First, the evidence base is small and heterogeneous, comprising only </w:t>
      </w:r>
      <w:r>
        <w:rPr/>
        <w:t>six</w:t>
      </w:r>
      <w:r>
        <w:rPr/>
        <w:t xml:space="preser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4-6 (no eligible studies missed) and an audit trail of all second-pass decisions. Third, four studies had major confounding by catheter type or selection, necessitating their exclusion from pooled analyses. Fourth, Saltarelli et al. (2015) [26] was available only as a conference abstract with limited methodological detail. Fifth, Varghese et al. (2025) [17]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w:t>
      </w:r>
      <w:r>
        <w:rPr/>
        <w:t>Eighth,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 Ninth, in the newly included Avelar trial, post-insertion complications in the ultrasound arm were ascertained with ultrasound visualization while the landmark arm was assessed clinically, a differential ascertainment that may inflate the infiltration signal.</w:t>
      </w:r>
      <w:r>
        <w:rPr/>
        <w:t xml:space="preserve"> Finally, the overall certainty of evidence as assessed by the GRADE framework ranged from low to very low across all outcomes [30],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 xml:space="preserve">This systematic review and meta-analysis of </w:t>
      </w:r>
      <w:r>
        <w:t>15</w:t>
      </w:r>
      <w:r>
        <w:t xml:space="preserve">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t>31.</w:t>
        <w:tab/>
        <w:t>Balduzzi S, Rücker G, Schwarzer G. How to perform a meta-analysis with R: a practical tutorial. Evid Based Ment Health. 2019;22(4):153-160.</w:t>
      </w:r>
    </w:p>
    <w:p>
      <w:r>
        <w:t>32.</w:t>
        <w:tab/>
        <w:t>Viechtbauer W. Conducting meta-analyses in R with the metafor package. J Stat Softw. 2010;36(3):1-48.</w:t>
      </w:r>
    </w:p>
    <w:p>
      <w:r>
        <w:rPr>
          <w:b/>
          <w:sz w:val="26"/>
        </w:rPr>
        <w:t>Figure legends</w:t>
      </w:r>
    </w:p>
    <w:p>
      <w:r>
        <w:t xml:space="preserve">Figure 1. Risk-of-bias and methodological-quality summary across all </w:t>
      </w:r>
      <w:r>
        <w:t>15</w:t>
      </w:r>
      <w:r>
        <w:t xml:space="preserve"> included studies (Based on Cochrane RoB 2 for </w:t>
      </w:r>
      <w:r>
        <w:t>6</w:t>
      </w:r>
      <w:r>
        <w:t xml:space="preserve"> RCTs and Newcastle-Ottawa Scale for 9 cohort studies; see Table 2 for details) (A) Cochrane RoB 2 traffic-light plot (RCTs, n = </w:t>
      </w:r>
      <w:r>
        <w:t>6</w:t>
      </w:r>
      <w:r>
        <w:t xml:space="preserve">). Uses traffic-light colors (green/yellow/red) to display the risk-of-bias judgments across domains for each of the </w:t>
      </w:r>
      <w: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2025; Desai 2018; Dachepally 2023; Paladini 2018) are reported in “Studies with major confounding” rather than in this forest plot.</w:t>
      </w:r>
    </w:p>
    <w:p>
      <w:r>
        <w:t xml:space="preserve">Figure 5. Forest plot: infiltration (USG vs landmark), </w:t>
      </w:r>
      <w:r>
        <w:t>k = 3 (2 RCTs + 1 cohort, all standard-PIVC). Random-effects pooled RR 1.30 (0.82–2.05; I² = 48.8%); the newly added Avelar 2015 trial reported higher infiltration with USG.</w:t>
      </w:r>
    </w:p>
    <w:p>
      <w:r>
        <w:t>Supplementary Figure 2</w:t>
      </w:r>
      <w:r>
        <w:t>. Individual study estimates (NOT pooled) for catheter survival / premature removal: Feinsmith 2023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t>Figure 6</w:t>
      </w:r>
      <w:r>
        <w:t>. Forest plot: catheter failure subgroup by age (adult vs pediatric, k = 4 same as Figure 3). The adult subgroup contains 2 cohorts + 1 conference abstract (Saltarelli 2015 dominates the adult weight); the pediatric subgroup contains a single RCT (Kleidon 2025). Subgroup-by-effect interaction not statistically significant (p = 0.32) and severely underpowered.</w:t>
      </w:r>
    </w:p>
    <w:p>
      <w: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