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12201634808c96827ef981f76fa44555a86bcbb"/>
    <w:p>
      <w:pPr>
        <w:pStyle w:val="Heading1"/>
      </w:pPr>
      <w:r>
        <w:t xml:space="preserve">Supplementary Material S2: List of Studies Excluded at Full-Text Stage with Reasons</w:t>
      </w:r>
    </w:p>
    <w:bookmarkStart w:id="9" w:name="X313b398c10fd63f9473a36532de7b24dabae152"/>
    <w:p>
      <w:pPr>
        <w:pStyle w:val="Heading2"/>
      </w:pPr>
      <w:r>
        <w:t xml:space="preserve">Studies excluded after full-text review (n = 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421"/>
        <w:gridCol w:w="4264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Reason for Exclusion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Malik A et al. (2023)</w:t>
            </w:r>
            <w:r>
              <w:t xml:space="preserve"> </w:t>
            </w:r>
            <w:r>
              <w:t xml:space="preserve">“Outcomes of Ultrasound Guided Peripheral Intravenous Catheters Placed in the Emergency Department and Factors Associated with Survival.”</w:t>
            </w:r>
            <w:r>
              <w:t xml:space="preserve"> </w:t>
            </w:r>
            <w:r>
              <w:rPr>
                <w:i/>
                <w:iCs/>
              </w:rPr>
              <w:t xml:space="preserve">Open Access Emergency Medicine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Single-arm study, no comparator</w:t>
            </w:r>
          </w:p>
        </w:tc>
        <w:tc>
          <w:tcPr/>
          <w:p>
            <w:pPr>
              <w:pStyle w:val="Compact"/>
            </w:pPr>
            <w:r>
              <w:t xml:space="preserve">Descriptive study of 388 USIV placements only; no landmark/palpation comparison group. Does not meet inclusion criterion #1.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Avelar AF et al. (2013)</w:t>
            </w:r>
            <w:r>
              <w:t xml:space="preserve"> </w:t>
            </w:r>
            <w:r>
              <w:t xml:space="preserve">“Assertiveness and dwell times with USG in children.”</w:t>
            </w:r>
          </w:p>
        </w:tc>
        <w:tc>
          <w:tcPr/>
          <w:p>
            <w:pPr>
              <w:pStyle w:val="Compact"/>
            </w:pPr>
            <w:r>
              <w:t xml:space="preserve">Portuguese language</w:t>
            </w:r>
          </w:p>
        </w:tc>
        <w:tc>
          <w:tcPr/>
          <w:p>
            <w:pPr>
              <w:pStyle w:val="Compact"/>
            </w:pPr>
            <w:r>
              <w:t xml:space="preserve">Published in Portuguese. Does not meet inclusion criterion #5 (English language).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Unpublished manuscript —</w:t>
            </w:r>
            <w:r>
              <w:t xml:space="preserve"> </w:t>
            </w:r>
            <w:r>
              <w:t xml:space="preserve">“Effectiveness of Ultrasound-Guided Versus Traditional IV Insertion by Oncology Nurses in Adult Population Receiving Systemic Anti-cancer Therapy”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  <w:tc>
          <w:tcPr/>
          <w:p>
            <w:pPr>
              <w:pStyle w:val="Compact"/>
            </w:pPr>
            <w:r>
              <w:t xml:space="preserve">Manuscript not published at time of search.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Unpublished manuscript —</w:t>
            </w:r>
            <w:r>
              <w:t xml:space="preserve"> </w:t>
            </w:r>
            <w:r>
              <w:t xml:space="preserve">“Ultrasound-guided Peripheral IV vs. Standard Technique in Difficult Vascular Access Patients by ICU Nurses”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  <w:tc>
          <w:tcPr/>
          <w:p>
            <w:pPr>
              <w:pStyle w:val="Compact"/>
            </w:pPr>
            <w:r>
              <w:t xml:space="preserve">Manuscript not published at time of search.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Kleidon TM et al. (2023)</w:t>
            </w:r>
            <w:r>
              <w:t xml:space="preserve"> </w:t>
            </w:r>
            <w:r>
              <w:t xml:space="preserve">“Ultrasound-guided PIVC insertion: a randomised controlled trial protocol.”</w:t>
            </w:r>
            <w:r>
              <w:t xml:space="preserve"> </w:t>
            </w:r>
            <w:r>
              <w:rPr>
                <w:i/>
                <w:iCs/>
              </w:rPr>
              <w:t xml:space="preserve">British Journal of Nursing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Protocol only, no results</w:t>
            </w:r>
          </w:p>
        </w:tc>
        <w:tc>
          <w:tcPr/>
          <w:p>
            <w:pPr>
              <w:pStyle w:val="Compact"/>
            </w:pPr>
            <w:r>
              <w:t xml:space="preserve">Protocol paper for the EPIC trial; same trial as Kleidon 2025 (JAMA Pediatrics). No post-insertion outcome data reported.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Kleidon TM et al. (2022)</w:t>
            </w:r>
            <w:r>
              <w:t xml:space="preserve"> </w:t>
            </w:r>
            <w:r>
              <w:t xml:space="preserve">“EPIC RCT.”</w:t>
            </w:r>
            <w:r>
              <w:t xml:space="preserve"> </w:t>
            </w:r>
            <w:r>
              <w:rPr>
                <w:i/>
                <w:iCs/>
              </w:rPr>
              <w:t xml:space="preserve">Journal of Vascular Access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Duplicate report</w:t>
            </w:r>
          </w:p>
        </w:tc>
        <w:tc>
          <w:tcPr/>
          <w:p>
            <w:pPr>
              <w:pStyle w:val="Compact"/>
            </w:pPr>
            <w:r>
              <w:t xml:space="preserve">Conference abstract/earlier report of the same EPIC trial. Primary report (Kleidon 2025, JAMA Pediatrics) used for data extraction.</w:t>
            </w:r>
          </w:p>
        </w:tc>
      </w:tr>
    </w:tbl>
    <w:bookmarkEnd w:id="9"/>
    <w:bookmarkStart w:id="10" w:name="Xf96e9f1c5c6aca712706c6adcc2b639f1b4c5a6"/>
    <w:p>
      <w:pPr>
        <w:pStyle w:val="Heading2"/>
      </w:pPr>
      <w:r>
        <w:t xml:space="preserve">Full-text articles retrieved and included (previously not retrieved)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911"/>
        <w:gridCol w:w="3004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Rayyan ID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Refosco M et al. (2024) — USG deep veins vs blind superficial veins in children 0-18y</w:t>
            </w:r>
          </w:p>
        </w:tc>
        <w:tc>
          <w:tcPr/>
          <w:p>
            <w:pPr>
              <w:pStyle w:val="Compact"/>
            </w:pPr>
            <w:r>
              <w:t xml:space="preserve">486160202</w:t>
            </w:r>
          </w:p>
        </w:tc>
        <w:tc>
          <w:tcPr/>
          <w:p>
            <w:pPr>
              <w:pStyle w:val="Compact"/>
            </w:pPr>
            <w:r>
              <w:t xml:space="preserve">Retrieved and included (confounded by catheter type)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Cottrell JT et al. (2021) — USG increases catheter dwell time in children</w:t>
            </w:r>
          </w:p>
        </w:tc>
        <w:tc>
          <w:tcPr/>
          <w:p>
            <w:pPr>
              <w:pStyle w:val="Compact"/>
            </w:pPr>
            <w:r>
              <w:t xml:space="preserve">486160348</w:t>
            </w:r>
          </w:p>
        </w:tc>
        <w:tc>
          <w:tcPr/>
          <w:p>
            <w:pPr>
              <w:pStyle w:val="Compact"/>
            </w:pPr>
            <w:r>
              <w:t xml:space="preserve">Retrieved and included</w:t>
            </w:r>
          </w:p>
        </w:tc>
      </w:tr>
    </w:tbl>
    <w:bookmarkEnd w:id="10"/>
    <w:bookmarkStart w:id="11" w:name="X1a6c23beace003bc54b436f552c9b37dc2655f4"/>
    <w:p>
      <w:pPr>
        <w:pStyle w:val="Heading2"/>
      </w:pPr>
      <w:r>
        <w:t xml:space="preserve">Full-text articles retrieved after initial search (subsequently included)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911"/>
        <w:gridCol w:w="3004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Rayyan ID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Desai K et al. (2018) — Longevity and Complication Rates of Ultrasound Guided vs Traditional PIVC in a Paediatric ED.</w:t>
            </w:r>
            <w:r>
              <w:t xml:space="preserve"> </w:t>
            </w:r>
            <w:r>
              <w:rPr>
                <w:i/>
                <w:iCs/>
              </w:rPr>
              <w:t xml:space="preserve">JAVA</w:t>
            </w:r>
            <w:r>
              <w:t xml:space="preserve"> </w:t>
            </w:r>
            <w:r>
              <w:t xml:space="preserve">23(3):149-154.</w:t>
            </w:r>
          </w:p>
        </w:tc>
        <w:tc>
          <w:tcPr/>
          <w:p>
            <w:pPr>
              <w:pStyle w:val="Compact"/>
            </w:pPr>
            <w:r>
              <w:t xml:space="preserve">486161209</w:t>
            </w:r>
          </w:p>
        </w:tc>
        <w:tc>
          <w:tcPr/>
          <w:p>
            <w:pPr>
              <w:pStyle w:val="Compact"/>
            </w:pPr>
            <w:r>
              <w:t xml:space="preserve">Retrieved April 2026 via interlibrary loan; included (classified as catheter-length confounded; excluded from primary pooling, retained in narrative synthesis)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Nishizawa T et al. (2020) — Nurse-Performed Ultrasound-Guided Technique for Difficult Peripheral IV Access in Critically Ill Patients.</w:t>
            </w:r>
            <w:r>
              <w:t xml:space="preserve"> </w:t>
            </w:r>
            <w:r>
              <w:rPr>
                <w:i/>
                <w:iCs/>
              </w:rPr>
              <w:t xml:space="preserve">JAVA</w:t>
            </w:r>
            <w:r>
              <w:t xml:space="preserve"> </w:t>
            </w:r>
            <w:r>
              <w:t xml:space="preserve">25(2):34-39.</w:t>
            </w:r>
          </w:p>
        </w:tc>
        <w:tc>
          <w:tcPr/>
          <w:p>
            <w:pPr>
              <w:pStyle w:val="Compact"/>
            </w:pPr>
            <w:r>
              <w:t xml:space="preserve">486161498</w:t>
            </w:r>
          </w:p>
        </w:tc>
        <w:tc>
          <w:tcPr/>
          <w:p>
            <w:pPr>
              <w:pStyle w:val="Compact"/>
            </w:pPr>
            <w:r>
              <w:t xml:space="preserve">Retrieved April 2026 via interlibrary loan; included (5th RCT; extravasation data contributed to narrative synthesis)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2026-04-28T17:14:32Z</dcterms:created>
  <dcterms:modified xsi:type="dcterms:W3CDTF">2026-04-28T17:14:32Z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