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96F53" w14:textId="32DAB791" w:rsidR="00251443" w:rsidRPr="00814070" w:rsidRDefault="00721877" w:rsidP="00251443">
      <w:pPr>
        <w:spacing w:after="120" w:line="360" w:lineRule="auto"/>
        <w:ind w:firstLineChars="3100" w:firstLine="7447"/>
        <w:rPr>
          <w:rFonts w:eastAsia="Times New Roman"/>
          <w:b/>
          <w:bCs/>
        </w:rPr>
      </w:pPr>
      <w:r w:rsidRPr="00814070">
        <w:rPr>
          <w:rFonts w:eastAsia="新細明體"/>
          <w:b/>
          <w:bCs/>
        </w:rPr>
        <w:t>May</w:t>
      </w:r>
      <w:r w:rsidR="00251443" w:rsidRPr="00814070">
        <w:rPr>
          <w:rFonts w:eastAsia="新細明體"/>
          <w:b/>
          <w:bCs/>
        </w:rPr>
        <w:t xml:space="preserve"> </w:t>
      </w:r>
      <w:r w:rsidR="009042FF">
        <w:rPr>
          <w:rFonts w:eastAsia="新細明體"/>
          <w:b/>
          <w:bCs/>
        </w:rPr>
        <w:t>13</w:t>
      </w:r>
      <w:r w:rsidR="00251443" w:rsidRPr="00814070">
        <w:rPr>
          <w:rFonts w:eastAsia="新細明體"/>
          <w:b/>
          <w:bCs/>
        </w:rPr>
        <w:t>, 2026</w:t>
      </w:r>
    </w:p>
    <w:p w14:paraId="6E2BCE9B" w14:textId="7E6A4A59" w:rsidR="00251443" w:rsidRPr="00814070" w:rsidRDefault="00251443" w:rsidP="00251443">
      <w:pPr>
        <w:spacing w:after="120" w:line="360" w:lineRule="auto"/>
        <w:rPr>
          <w:b/>
          <w:bCs/>
        </w:rPr>
      </w:pPr>
      <w:r w:rsidRPr="00814070">
        <w:rPr>
          <w:rFonts w:eastAsia="Times New Roman"/>
          <w:b/>
          <w:bCs/>
        </w:rPr>
        <w:t xml:space="preserve">Editor-in-Chief </w:t>
      </w:r>
      <w:r w:rsidR="00A51CF1" w:rsidRPr="00A51CF1">
        <w:rPr>
          <w:rFonts w:eastAsia="Times New Roman"/>
          <w:b/>
          <w:bCs/>
        </w:rPr>
        <w:t xml:space="preserve">The Ultrasound Journal </w:t>
      </w:r>
    </w:p>
    <w:p w14:paraId="5F329C6D" w14:textId="5338CE30" w:rsidR="00251443" w:rsidRPr="00814070" w:rsidRDefault="00251443" w:rsidP="00251443">
      <w:pPr>
        <w:spacing w:after="120" w:line="360" w:lineRule="auto"/>
      </w:pPr>
      <w:r w:rsidRPr="00EA4505">
        <w:rPr>
          <w:rFonts w:eastAsia="Times New Roman"/>
        </w:rPr>
        <w:t>Dear Editor-in-Chief:</w:t>
      </w:r>
    </w:p>
    <w:p w14:paraId="0918DAC3" w14:textId="72215B39" w:rsidR="002A4D51" w:rsidRPr="002A4D51" w:rsidRDefault="002A4D51" w:rsidP="002A4D51">
      <w:pPr>
        <w:spacing w:after="120" w:line="360" w:lineRule="auto"/>
      </w:pPr>
      <w:r w:rsidRPr="002A4D51">
        <w:rPr>
          <w:rFonts w:eastAsia="Times New Roman"/>
        </w:rPr>
        <w:t>We are pleased to submit our manuscript entitled “</w:t>
      </w:r>
      <w:r w:rsidRPr="002A4D51">
        <w:rPr>
          <w:rFonts w:eastAsia="Times New Roman"/>
          <w:b/>
          <w:bCs/>
        </w:rPr>
        <w:t>Post-insertion outcomes of ultrasound-guided versus landmark peripheral intravenous catheters: a systematic review and meta-analysis</w:t>
      </w:r>
      <w:r w:rsidRPr="002A4D51">
        <w:rPr>
          <w:rFonts w:eastAsia="Times New Roman"/>
        </w:rPr>
        <w:t>” for consideration for publication in The Ultrasound Journal.</w:t>
      </w:r>
    </w:p>
    <w:p w14:paraId="5438AD76" w14:textId="78CD2C17" w:rsidR="002A4D51" w:rsidRPr="002A4D51" w:rsidRDefault="002A4D51" w:rsidP="002A4D51">
      <w:pPr>
        <w:spacing w:after="120" w:line="360" w:lineRule="auto"/>
      </w:pPr>
      <w:r w:rsidRPr="002A4D51">
        <w:rPr>
          <w:rFonts w:eastAsia="Times New Roman"/>
        </w:rPr>
        <w:t>Ultrasound-guided peripheral intravenous catheter (USG-PIVC) insertion is now widely used to improve cannulation success, particularly in patients with difficult intravenous access. Although multiple systematic reviews have established its insertion-phase benefits, no prior review has specifically focused on whether ultrasound guidance also improves post-insertion outcomes, including catheter failure, dwell time, infiltration, and extravasation. We believe this is a clinically important and underexplored question for ultrasound practitioners.</w:t>
      </w:r>
    </w:p>
    <w:p w14:paraId="0A0C9E65" w14:textId="26C89A1E" w:rsidR="002A4D51" w:rsidRPr="002A4D51" w:rsidRDefault="002A4D51" w:rsidP="002A4D51">
      <w:pPr>
        <w:spacing w:after="120" w:line="360" w:lineRule="auto"/>
      </w:pPr>
      <w:r w:rsidRPr="002A4D51">
        <w:rPr>
          <w:rFonts w:eastAsia="Times New Roman"/>
        </w:rPr>
        <w:t xml:space="preserve">In this systematic review and meta-analysis of 14 studies (5 randomized controlled trials and 9 cohort studies; 78,209 participants), we found no consistent demonstrated post-insertion advantage of USG over landmark-guided PIVC placement. The pooled catheter-failure estimate was borderline and non-significant (RR 1.23, 95% CI 0.99–1.51), dwell-time results were too heterogeneous to support pooling, and infiltration showed no significant difference. Importantly, several studies reporting favorable USG outcomes were substantially confounded by systematic differences in catheter length or material between groups. Taken together, the available evidence suggests that apparently favorable post-insertion outcomes may reflect catheter specification as much as, or more than, ultrasound guidance itself.  </w:t>
      </w:r>
    </w:p>
    <w:p w14:paraId="21252F6E" w14:textId="77777777" w:rsidR="002A4D51" w:rsidRPr="002A4D51" w:rsidRDefault="002A4D51" w:rsidP="002A4D51">
      <w:pPr>
        <w:spacing w:after="120" w:line="360" w:lineRule="auto"/>
        <w:rPr>
          <w:rFonts w:eastAsia="Times New Roman"/>
        </w:rPr>
      </w:pPr>
      <w:r w:rsidRPr="002A4D51">
        <w:rPr>
          <w:rFonts w:eastAsia="Times New Roman"/>
        </w:rPr>
        <w:t>We believe the manuscript is particularly relevant to The Ultrasound Journal for three reasons. First, it addresses a practical question directly relevant to clinicians who use ultrasound for vascular access. Second, it distinguishes the well-established insertion-phase benefits of USG from the far less certain post-insertion phase. Third, it highlights an important methodological issue for future ultrasound research: the need to separate the effect of guidance modality from the effect of catheter length, gauge, and material.</w:t>
      </w:r>
    </w:p>
    <w:p w14:paraId="2A996548" w14:textId="77777777" w:rsidR="002A4D51" w:rsidRPr="002A4D51" w:rsidRDefault="002A4D51" w:rsidP="002A4D51">
      <w:pPr>
        <w:spacing w:after="120" w:line="360" w:lineRule="auto"/>
        <w:rPr>
          <w:rFonts w:eastAsia="Times New Roman"/>
        </w:rPr>
      </w:pPr>
    </w:p>
    <w:p w14:paraId="7DACBDF7" w14:textId="1DECF6E6" w:rsidR="002A4D51" w:rsidRPr="002A4D51" w:rsidRDefault="002A4D51" w:rsidP="002A4D51">
      <w:pPr>
        <w:spacing w:after="120" w:line="360" w:lineRule="auto"/>
      </w:pPr>
      <w:r w:rsidRPr="002A4D51">
        <w:rPr>
          <w:rFonts w:eastAsia="Times New Roman"/>
        </w:rPr>
        <w:t xml:space="preserve">This manuscript has not been published previously and is not under consideration elsewhere. The review was prospectively registered in PROSPERO (CRD420261354170) and conducted in accordance with PRISMA 2020 guidance. All authors have read and approved the </w:t>
      </w:r>
      <w:r w:rsidRPr="002A4D51">
        <w:rPr>
          <w:rFonts w:eastAsia="Times New Roman"/>
        </w:rPr>
        <w:lastRenderedPageBreak/>
        <w:t>manuscript. We declare no conflicts of interest and no external funding.</w:t>
      </w:r>
    </w:p>
    <w:p w14:paraId="73EB1E0E" w14:textId="77777777" w:rsidR="002A4D51" w:rsidRDefault="002A4D51" w:rsidP="002A4D51">
      <w:pPr>
        <w:spacing w:after="120" w:line="360" w:lineRule="auto"/>
        <w:rPr>
          <w:rFonts w:eastAsia="Times New Roman"/>
        </w:rPr>
      </w:pPr>
      <w:r w:rsidRPr="002A4D51">
        <w:rPr>
          <w:rFonts w:eastAsia="Times New Roman"/>
        </w:rPr>
        <w:t>Thank you for your consideration. We believe this work will be of interest to your readership because it provides a more cautious and methodologically focused perspective on what ultrasound-guided vascular access can — and cannot yet — be assumed to achieve after successful insertion.</w:t>
      </w:r>
    </w:p>
    <w:p w14:paraId="1C115BCC" w14:textId="2155CECC" w:rsidR="00A51CF1" w:rsidRPr="00A51CF1" w:rsidRDefault="00A51CF1" w:rsidP="002A4D51">
      <w:pPr>
        <w:spacing w:after="120" w:line="360" w:lineRule="auto"/>
        <w:rPr>
          <w:rFonts w:eastAsia="Times New Roman"/>
        </w:rPr>
      </w:pPr>
      <w:r w:rsidRPr="00A51CF1">
        <w:rPr>
          <w:rFonts w:eastAsia="Times New Roman"/>
        </w:rPr>
        <w:t>Thank you for your consideration.</w:t>
      </w:r>
    </w:p>
    <w:p w14:paraId="00235A85" w14:textId="4AB2C33B" w:rsidR="009F012F" w:rsidRPr="00EA4505" w:rsidRDefault="008D1C8B" w:rsidP="00A51CF1">
      <w:pPr>
        <w:spacing w:after="120" w:line="360" w:lineRule="auto"/>
      </w:pPr>
      <w:r w:rsidRPr="00EA4505">
        <w:rPr>
          <w:rFonts w:eastAsia="Times New Roman"/>
        </w:rPr>
        <w:t>Sincerely,</w:t>
      </w:r>
    </w:p>
    <w:p w14:paraId="675448A0" w14:textId="77777777" w:rsidR="009F012F" w:rsidRPr="00EA4505" w:rsidRDefault="008D1C8B">
      <w:pPr>
        <w:spacing w:after="120" w:line="360" w:lineRule="auto"/>
      </w:pPr>
      <w:r w:rsidRPr="00EA4505">
        <w:rPr>
          <w:rFonts w:eastAsia="Times New Roman"/>
        </w:rPr>
        <w:t>Chia-Ching Chen, MD</w:t>
      </w:r>
    </w:p>
    <w:p w14:paraId="277317B1" w14:textId="77777777" w:rsidR="009F012F" w:rsidRPr="00EA4505" w:rsidRDefault="008D1C8B">
      <w:pPr>
        <w:spacing w:after="120" w:line="360" w:lineRule="auto"/>
      </w:pPr>
      <w:r w:rsidRPr="00EA4505">
        <w:rPr>
          <w:rFonts w:eastAsia="Times New Roman"/>
        </w:rPr>
        <w:t>Department of Emergency Medicine</w:t>
      </w:r>
    </w:p>
    <w:p w14:paraId="0560A2F1" w14:textId="77777777" w:rsidR="009F012F" w:rsidRPr="00EA4505" w:rsidRDefault="008D1C8B">
      <w:pPr>
        <w:spacing w:after="120" w:line="360" w:lineRule="auto"/>
      </w:pPr>
      <w:r w:rsidRPr="00EA4505">
        <w:rPr>
          <w:rFonts w:eastAsia="Times New Roman"/>
        </w:rPr>
        <w:t>Chang Bing Show-</w:t>
      </w:r>
      <w:proofErr w:type="spellStart"/>
      <w:r w:rsidRPr="00EA4505">
        <w:rPr>
          <w:rFonts w:eastAsia="Times New Roman"/>
        </w:rPr>
        <w:t>Chwan</w:t>
      </w:r>
      <w:proofErr w:type="spellEnd"/>
      <w:r w:rsidRPr="00EA4505">
        <w:rPr>
          <w:rFonts w:eastAsia="Times New Roman"/>
        </w:rPr>
        <w:t xml:space="preserve"> Memorial Hospital</w:t>
      </w:r>
    </w:p>
    <w:p w14:paraId="6757AF85" w14:textId="77777777" w:rsidR="009F012F" w:rsidRPr="00EA4505" w:rsidRDefault="008D1C8B">
      <w:pPr>
        <w:spacing w:after="120" w:line="360" w:lineRule="auto"/>
      </w:pPr>
      <w:r w:rsidRPr="00EA4505">
        <w:rPr>
          <w:rFonts w:eastAsia="Times New Roman"/>
        </w:rPr>
        <w:t xml:space="preserve">No. 6 </w:t>
      </w:r>
      <w:proofErr w:type="spellStart"/>
      <w:r w:rsidRPr="00EA4505">
        <w:rPr>
          <w:rFonts w:eastAsia="Times New Roman"/>
        </w:rPr>
        <w:t>Lugong</w:t>
      </w:r>
      <w:proofErr w:type="spellEnd"/>
      <w:r w:rsidRPr="00EA4505">
        <w:rPr>
          <w:rFonts w:eastAsia="Times New Roman"/>
        </w:rPr>
        <w:t xml:space="preserve"> Rd. </w:t>
      </w:r>
      <w:proofErr w:type="spellStart"/>
      <w:r w:rsidRPr="00EA4505">
        <w:rPr>
          <w:rFonts w:eastAsia="Times New Roman"/>
        </w:rPr>
        <w:t>Lukang</w:t>
      </w:r>
      <w:proofErr w:type="spellEnd"/>
      <w:r w:rsidRPr="00EA4505">
        <w:rPr>
          <w:rFonts w:eastAsia="Times New Roman"/>
        </w:rPr>
        <w:t xml:space="preserve"> Zhen, Changhua County, Taiwan, R.O.C.</w:t>
      </w:r>
    </w:p>
    <w:p w14:paraId="29F57575" w14:textId="77777777" w:rsidR="009F012F" w:rsidRPr="00EA4505" w:rsidRDefault="008D1C8B">
      <w:pPr>
        <w:spacing w:after="120" w:line="360" w:lineRule="auto"/>
      </w:pPr>
      <w:r w:rsidRPr="00EA4505">
        <w:rPr>
          <w:rFonts w:eastAsia="Times New Roman"/>
        </w:rPr>
        <w:t xml:space="preserve">Tel: +886-4-7813888 </w:t>
      </w:r>
      <w:proofErr w:type="spellStart"/>
      <w:r w:rsidRPr="00EA4505">
        <w:rPr>
          <w:rFonts w:eastAsia="Times New Roman"/>
        </w:rPr>
        <w:t>ext</w:t>
      </w:r>
      <w:proofErr w:type="spellEnd"/>
      <w:r w:rsidRPr="00EA4505">
        <w:rPr>
          <w:rFonts w:eastAsia="Times New Roman"/>
        </w:rPr>
        <w:t>: 71297</w:t>
      </w:r>
    </w:p>
    <w:p w14:paraId="48A7D1CF" w14:textId="77777777" w:rsidR="009F012F" w:rsidRPr="00EA4505" w:rsidRDefault="008D1C8B">
      <w:pPr>
        <w:spacing w:after="120" w:line="360" w:lineRule="auto"/>
      </w:pPr>
      <w:r w:rsidRPr="00EA4505">
        <w:rPr>
          <w:rFonts w:eastAsia="Times New Roman"/>
        </w:rPr>
        <w:t>E-mail: medilife.c11g@gmail.com</w:t>
      </w:r>
    </w:p>
    <w:sectPr w:rsidR="009F012F" w:rsidRPr="00EA450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8218D" w14:textId="77777777" w:rsidR="0042169B" w:rsidRDefault="0042169B" w:rsidP="00FE4798">
      <w:r>
        <w:separator/>
      </w:r>
    </w:p>
  </w:endnote>
  <w:endnote w:type="continuationSeparator" w:id="0">
    <w:p w14:paraId="7795486D" w14:textId="77777777" w:rsidR="0042169B" w:rsidRDefault="0042169B" w:rsidP="00FE4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498C7" w14:textId="77777777" w:rsidR="0042169B" w:rsidRDefault="0042169B" w:rsidP="00FE4798">
      <w:r>
        <w:separator/>
      </w:r>
    </w:p>
  </w:footnote>
  <w:footnote w:type="continuationSeparator" w:id="0">
    <w:p w14:paraId="682B5461" w14:textId="77777777" w:rsidR="0042169B" w:rsidRDefault="0042169B" w:rsidP="00FE4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53BE3"/>
    <w:multiLevelType w:val="hybridMultilevel"/>
    <w:tmpl w:val="5E42A3D4"/>
    <w:lvl w:ilvl="0" w:tplc="A7CA9FE2">
      <w:start w:val="1"/>
      <w:numFmt w:val="bullet"/>
      <w:lvlText w:val="●"/>
      <w:lvlJc w:val="left"/>
      <w:pPr>
        <w:ind w:left="720" w:hanging="360"/>
      </w:pPr>
    </w:lvl>
    <w:lvl w:ilvl="1" w:tplc="3286D03E">
      <w:start w:val="1"/>
      <w:numFmt w:val="bullet"/>
      <w:lvlText w:val="○"/>
      <w:lvlJc w:val="left"/>
      <w:pPr>
        <w:ind w:left="1440" w:hanging="360"/>
      </w:pPr>
    </w:lvl>
    <w:lvl w:ilvl="2" w:tplc="7BBAF2CC">
      <w:start w:val="1"/>
      <w:numFmt w:val="bullet"/>
      <w:lvlText w:val="■"/>
      <w:lvlJc w:val="left"/>
      <w:pPr>
        <w:ind w:left="2160" w:hanging="360"/>
      </w:pPr>
    </w:lvl>
    <w:lvl w:ilvl="3" w:tplc="31340F90">
      <w:start w:val="1"/>
      <w:numFmt w:val="bullet"/>
      <w:lvlText w:val="●"/>
      <w:lvlJc w:val="left"/>
      <w:pPr>
        <w:ind w:left="2880" w:hanging="360"/>
      </w:pPr>
    </w:lvl>
    <w:lvl w:ilvl="4" w:tplc="6A3ACEE4">
      <w:start w:val="1"/>
      <w:numFmt w:val="bullet"/>
      <w:lvlText w:val="○"/>
      <w:lvlJc w:val="left"/>
      <w:pPr>
        <w:ind w:left="3600" w:hanging="360"/>
      </w:pPr>
    </w:lvl>
    <w:lvl w:ilvl="5" w:tplc="B4C69856">
      <w:start w:val="1"/>
      <w:numFmt w:val="bullet"/>
      <w:lvlText w:val="■"/>
      <w:lvlJc w:val="left"/>
      <w:pPr>
        <w:ind w:left="4320" w:hanging="360"/>
      </w:pPr>
    </w:lvl>
    <w:lvl w:ilvl="6" w:tplc="8F0091D4">
      <w:start w:val="1"/>
      <w:numFmt w:val="bullet"/>
      <w:lvlText w:val="●"/>
      <w:lvlJc w:val="left"/>
      <w:pPr>
        <w:ind w:left="5040" w:hanging="360"/>
      </w:pPr>
    </w:lvl>
    <w:lvl w:ilvl="7" w:tplc="E78C8CA2">
      <w:start w:val="1"/>
      <w:numFmt w:val="bullet"/>
      <w:lvlText w:val="●"/>
      <w:lvlJc w:val="left"/>
      <w:pPr>
        <w:ind w:left="5760" w:hanging="360"/>
      </w:pPr>
    </w:lvl>
    <w:lvl w:ilvl="8" w:tplc="86C4A5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displayBackgroundShape/>
  <w:bordersDoNotSurroundHeader/>
  <w:bordersDoNotSurroundFooter/>
  <w:proofState w:spelling="clean"/>
  <w:defaultTabStop w:val="48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12F"/>
    <w:rsid w:val="000C0201"/>
    <w:rsid w:val="00251443"/>
    <w:rsid w:val="002A4D51"/>
    <w:rsid w:val="002E7D3E"/>
    <w:rsid w:val="004057BD"/>
    <w:rsid w:val="0042169B"/>
    <w:rsid w:val="004A481C"/>
    <w:rsid w:val="004C43F6"/>
    <w:rsid w:val="004C714B"/>
    <w:rsid w:val="005A42A0"/>
    <w:rsid w:val="005C66D9"/>
    <w:rsid w:val="00653B04"/>
    <w:rsid w:val="00721877"/>
    <w:rsid w:val="00814070"/>
    <w:rsid w:val="008D1C8B"/>
    <w:rsid w:val="008D3325"/>
    <w:rsid w:val="008F2353"/>
    <w:rsid w:val="009042FF"/>
    <w:rsid w:val="009F012F"/>
    <w:rsid w:val="00A51CF1"/>
    <w:rsid w:val="00AC15FB"/>
    <w:rsid w:val="00AE1D70"/>
    <w:rsid w:val="00C51508"/>
    <w:rsid w:val="00CE4C5B"/>
    <w:rsid w:val="00D61BBF"/>
    <w:rsid w:val="00DA71F1"/>
    <w:rsid w:val="00DD4AF4"/>
    <w:rsid w:val="00E6685E"/>
    <w:rsid w:val="00EA4505"/>
    <w:rsid w:val="00FE47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11E2E8"/>
  <w15:docId w15:val="{B33E954A-F310-4B74-8E5C-B5AF5E931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header"/>
    <w:basedOn w:val="a"/>
    <w:link w:val="aa"/>
    <w:uiPriority w:val="99"/>
    <w:unhideWhenUsed/>
    <w:rsid w:val="00FE4798"/>
    <w:pPr>
      <w:tabs>
        <w:tab w:val="center" w:pos="4153"/>
        <w:tab w:val="right" w:pos="8306"/>
      </w:tabs>
      <w:snapToGrid w:val="0"/>
    </w:pPr>
    <w:rPr>
      <w:sz w:val="20"/>
      <w:szCs w:val="20"/>
    </w:rPr>
  </w:style>
  <w:style w:type="character" w:customStyle="1" w:styleId="aa">
    <w:name w:val="頁首 字元"/>
    <w:basedOn w:val="a0"/>
    <w:link w:val="a9"/>
    <w:uiPriority w:val="99"/>
    <w:rsid w:val="00FE4798"/>
    <w:rPr>
      <w:sz w:val="20"/>
      <w:szCs w:val="20"/>
    </w:rPr>
  </w:style>
  <w:style w:type="paragraph" w:styleId="ab">
    <w:name w:val="footer"/>
    <w:basedOn w:val="a"/>
    <w:link w:val="ac"/>
    <w:uiPriority w:val="99"/>
    <w:unhideWhenUsed/>
    <w:rsid w:val="00FE4798"/>
    <w:pPr>
      <w:tabs>
        <w:tab w:val="center" w:pos="4153"/>
        <w:tab w:val="right" w:pos="8306"/>
      </w:tabs>
      <w:snapToGrid w:val="0"/>
    </w:pPr>
    <w:rPr>
      <w:sz w:val="20"/>
      <w:szCs w:val="20"/>
    </w:rPr>
  </w:style>
  <w:style w:type="character" w:customStyle="1" w:styleId="ac">
    <w:name w:val="頁尾 字元"/>
    <w:basedOn w:val="a0"/>
    <w:link w:val="ab"/>
    <w:uiPriority w:val="99"/>
    <w:rsid w:val="00FE479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陳柏銘</cp:lastModifiedBy>
  <cp:revision>4</cp:revision>
  <dcterms:created xsi:type="dcterms:W3CDTF">2026-05-13T08:32:00Z</dcterms:created>
  <dcterms:modified xsi:type="dcterms:W3CDTF">2026-05-14T01:25:00Z</dcterms:modified>
</cp:coreProperties>
</file>