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F4858" w14:textId="086CF912" w:rsidR="00DD2D9A" w:rsidRPr="004B546E" w:rsidRDefault="00075FAB">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Post-insertion outcomes of ultrasound-guided versus landmark peripheral intravenous catheters: a systematic review and meta-analysis</w:t>
      </w:r>
    </w:p>
    <w:p w14:paraId="176983E6" w14:textId="21EB396C" w:rsidR="00075FAB" w:rsidRPr="004B546E" w:rsidRDefault="00075FAB" w:rsidP="00075FAB">
      <w:pPr>
        <w:pStyle w:val="FirstParagraph"/>
        <w:rPr>
          <w:rFonts w:ascii="Times New Roman" w:hAnsi="Times New Roman" w:cs="Times New Roman"/>
          <w:color w:val="000000" w:themeColor="text1"/>
        </w:rPr>
      </w:pPr>
      <w:r w:rsidRPr="004B546E">
        <w:rPr>
          <w:rFonts w:ascii="Times New Roman" w:hAnsi="Times New Roman" w:cs="Times New Roman"/>
          <w:color w:val="000000" w:themeColor="text1"/>
        </w:rPr>
        <w:t>Tai-An Lee, MD</w:t>
      </w:r>
      <w:r w:rsidRPr="004B546E">
        <w:rPr>
          <w:rFonts w:ascii="Times New Roman" w:hAnsi="Times New Roman" w:cs="Times New Roman"/>
          <w:color w:val="000000" w:themeColor="text1"/>
          <w:vertAlign w:val="superscript"/>
        </w:rPr>
        <w:t>1,†</w:t>
      </w:r>
      <w:r w:rsidR="00BB52E3"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Yu-Ling Wang</w:t>
      </w:r>
      <w:r w:rsidRPr="004B546E">
        <w:rPr>
          <w:rFonts w:ascii="Times New Roman" w:hAnsi="Times New Roman" w:cs="Times New Roman"/>
          <w:color w:val="000000" w:themeColor="text1"/>
          <w:vertAlign w:val="superscript"/>
        </w:rPr>
        <w:t>2,†</w:t>
      </w:r>
      <w:r w:rsidR="00BB52E3"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Jen-Tao </w:t>
      </w:r>
      <w:r w:rsidR="008657A6" w:rsidRPr="004B546E">
        <w:rPr>
          <w:rFonts w:ascii="Times New Roman" w:hAnsi="Times New Roman" w:cs="Times New Roman" w:hint="eastAsia"/>
          <w:color w:val="000000" w:themeColor="text1"/>
          <w:lang w:eastAsia="zh-TW"/>
        </w:rPr>
        <w:t>L</w:t>
      </w:r>
      <w:r w:rsidR="008657A6" w:rsidRPr="004B546E">
        <w:rPr>
          <w:rFonts w:ascii="Times New Roman" w:hAnsi="Times New Roman" w:cs="Times New Roman"/>
          <w:color w:val="000000" w:themeColor="text1"/>
          <w:lang w:eastAsia="zh-TW"/>
        </w:rPr>
        <w:t>in</w:t>
      </w:r>
      <w:r w:rsidR="008A270F" w:rsidRPr="004B546E">
        <w:rPr>
          <w:rFonts w:ascii="Times New Roman" w:hAnsi="Times New Roman" w:cs="Times New Roman" w:hint="eastAsia"/>
          <w:color w:val="000000" w:themeColor="text1"/>
          <w:vertAlign w:val="superscript"/>
          <w:lang w:eastAsia="zh-TW"/>
        </w:rPr>
        <w:t>3</w:t>
      </w:r>
      <w:r w:rsidR="00BB52E3" w:rsidRPr="004B546E">
        <w:rPr>
          <w:rFonts w:ascii="Times New Roman" w:hAnsi="Times New Roman" w:cs="Times New Roman"/>
          <w:color w:val="000000" w:themeColor="text1"/>
        </w:rPr>
        <w:t>, Po-Ming Chen</w:t>
      </w:r>
      <w:r w:rsidR="00BB52E3" w:rsidRPr="004B546E">
        <w:rPr>
          <w:rFonts w:ascii="Times New Roman" w:hAnsi="Times New Roman" w:cs="Times New Roman"/>
          <w:color w:val="000000" w:themeColor="text1"/>
          <w:vertAlign w:val="superscript"/>
        </w:rPr>
        <w:t>4, 5</w:t>
      </w:r>
      <w:r w:rsidR="00BB52E3"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Chia-Ching Chen</w:t>
      </w:r>
      <w:r w:rsidR="00BB52E3" w:rsidRPr="004B546E">
        <w:rPr>
          <w:rFonts w:ascii="Times New Roman" w:hAnsi="Times New Roman" w:cs="Times New Roman"/>
          <w:color w:val="000000" w:themeColor="text1"/>
          <w:vertAlign w:val="superscript"/>
        </w:rPr>
        <w:t>1</w:t>
      </w:r>
      <w:r w:rsidR="004D4BBA" w:rsidRPr="004B546E">
        <w:rPr>
          <w:rFonts w:ascii="Times New Roman" w:hAnsi="Times New Roman" w:cs="Times New Roman" w:hint="eastAsia"/>
          <w:color w:val="000000" w:themeColor="text1"/>
          <w:vertAlign w:val="superscript"/>
          <w:lang w:eastAsia="zh-TW"/>
        </w:rPr>
        <w:t>,</w:t>
      </w:r>
      <w:r w:rsidR="004D4BBA" w:rsidRPr="004B546E">
        <w:rPr>
          <w:rFonts w:ascii="Times New Roman" w:hAnsi="Times New Roman" w:cs="Times New Roman"/>
          <w:color w:val="000000" w:themeColor="text1"/>
          <w:vertAlign w:val="superscript"/>
          <w:lang w:eastAsia="zh-TW"/>
        </w:rPr>
        <w:t xml:space="preserve"> 6</w:t>
      </w:r>
      <w:r w:rsidR="00BB52E3" w:rsidRPr="004B546E">
        <w:rPr>
          <w:rFonts w:ascii="Times New Roman" w:hAnsi="Times New Roman" w:cs="Times New Roman"/>
          <w:color w:val="000000" w:themeColor="text1"/>
        </w:rPr>
        <w:t>*</w:t>
      </w:r>
    </w:p>
    <w:p w14:paraId="7F4974E7" w14:textId="490D160D" w:rsidR="00BB52E3" w:rsidRPr="004B546E" w:rsidRDefault="00BB52E3" w:rsidP="00BB52E3">
      <w:pPr>
        <w:rPr>
          <w:rFonts w:ascii="Times New Roman" w:hAnsi="Times New Roman" w:cs="Times New Roman"/>
          <w:color w:val="000000" w:themeColor="text1"/>
        </w:rPr>
      </w:pPr>
      <w:r w:rsidRPr="004B546E">
        <w:rPr>
          <w:rFonts w:ascii="Times New Roman" w:hAnsi="Times New Roman" w:cs="Times New Roman"/>
          <w:color w:val="000000" w:themeColor="text1"/>
          <w:vertAlign w:val="superscript"/>
        </w:rPr>
        <w:t>1</w:t>
      </w:r>
      <w:r w:rsidRPr="004B546E">
        <w:rPr>
          <w:rFonts w:ascii="Times New Roman" w:hAnsi="Times New Roman" w:cs="Times New Roman"/>
          <w:color w:val="000000" w:themeColor="text1"/>
        </w:rPr>
        <w:t xml:space="preserve"> Department of Emergency Medicine, Chang Bing Show Chwan Memorial Hospital</w:t>
      </w:r>
    </w:p>
    <w:p w14:paraId="1D2B3221" w14:textId="10C6FF41" w:rsidR="00BB52E3" w:rsidRPr="004B546E" w:rsidRDefault="00BB52E3" w:rsidP="00BB52E3">
      <w:pPr>
        <w:rPr>
          <w:rFonts w:ascii="Times New Roman" w:hAnsi="Times New Roman" w:cs="Times New Roman"/>
          <w:color w:val="000000" w:themeColor="text1"/>
        </w:rPr>
      </w:pPr>
      <w:r w:rsidRPr="004B546E">
        <w:rPr>
          <w:rFonts w:ascii="Times New Roman" w:hAnsi="Times New Roman" w:cs="Times New Roman"/>
          <w:color w:val="000000" w:themeColor="text1"/>
          <w:vertAlign w:val="superscript"/>
        </w:rPr>
        <w:t>2</w:t>
      </w:r>
      <w:r w:rsidRPr="004B546E">
        <w:rPr>
          <w:rFonts w:ascii="Times New Roman" w:hAnsi="Times New Roman" w:cs="Times New Roman"/>
          <w:color w:val="000000" w:themeColor="text1"/>
        </w:rPr>
        <w:t xml:space="preserve"> Department of Gastroenterology, Chang Bing Show Chwan Memorial Hospital</w:t>
      </w:r>
    </w:p>
    <w:p w14:paraId="3D3B18F6" w14:textId="7A72370E" w:rsidR="00056E2B" w:rsidRPr="004B546E" w:rsidRDefault="00056E2B" w:rsidP="00BB52E3">
      <w:pPr>
        <w:rPr>
          <w:rFonts w:ascii="Times New Roman" w:hAnsi="Times New Roman" w:cs="Times New Roman"/>
          <w:color w:val="000000" w:themeColor="text1"/>
        </w:rPr>
      </w:pPr>
      <w:r w:rsidRPr="004B546E">
        <w:rPr>
          <w:rFonts w:ascii="Times New Roman" w:hAnsi="Times New Roman" w:cs="Times New Roman"/>
          <w:color w:val="000000" w:themeColor="text1"/>
          <w:vertAlign w:val="superscript"/>
        </w:rPr>
        <w:t>3</w:t>
      </w:r>
      <w:r w:rsidRPr="004B546E">
        <w:rPr>
          <w:rFonts w:ascii="Times New Roman" w:hAnsi="Times New Roman" w:cs="Times New Roman"/>
          <w:color w:val="000000" w:themeColor="text1"/>
        </w:rPr>
        <w:t>Department of Surgery, Show Chwan Memorial Hospital, Changhua, Taiwan, R.O.C.</w:t>
      </w:r>
    </w:p>
    <w:p w14:paraId="42C060D7" w14:textId="29EEAAF3" w:rsidR="00BB52E3" w:rsidRPr="004B546E" w:rsidRDefault="00056E2B" w:rsidP="00BB52E3">
      <w:pPr>
        <w:rPr>
          <w:rFonts w:ascii="Times New Roman" w:hAnsi="Times New Roman" w:cs="Times New Roman"/>
          <w:color w:val="000000" w:themeColor="text1"/>
        </w:rPr>
      </w:pPr>
      <w:r w:rsidRPr="004B546E">
        <w:rPr>
          <w:rFonts w:ascii="Times New Roman" w:hAnsi="Times New Roman" w:cs="Times New Roman"/>
          <w:color w:val="000000" w:themeColor="text1"/>
          <w:vertAlign w:val="superscript"/>
        </w:rPr>
        <w:t>4</w:t>
      </w:r>
      <w:r w:rsidR="00BB52E3" w:rsidRPr="004B546E">
        <w:rPr>
          <w:rFonts w:ascii="Times New Roman" w:hAnsi="Times New Roman" w:cs="Times New Roman"/>
          <w:color w:val="000000" w:themeColor="text1"/>
        </w:rPr>
        <w:t xml:space="preserve">Research Assistant Center, Show Chwan Memorial Hospital, Changhua, Taiwan </w:t>
      </w:r>
    </w:p>
    <w:p w14:paraId="694FF9A9" w14:textId="118FF167" w:rsidR="00BB52E3" w:rsidRPr="004B546E" w:rsidRDefault="00056E2B" w:rsidP="00BB52E3">
      <w:pPr>
        <w:rPr>
          <w:rFonts w:ascii="Times New Roman" w:hAnsi="Times New Roman" w:cs="Times New Roman"/>
          <w:color w:val="000000" w:themeColor="text1"/>
        </w:rPr>
      </w:pPr>
      <w:r w:rsidRPr="004B546E">
        <w:rPr>
          <w:rFonts w:ascii="Times New Roman" w:hAnsi="Times New Roman" w:cs="Times New Roman"/>
          <w:color w:val="000000" w:themeColor="text1"/>
          <w:vertAlign w:val="superscript"/>
        </w:rPr>
        <w:t>5</w:t>
      </w:r>
      <w:r w:rsidR="00BB52E3" w:rsidRPr="004B546E">
        <w:rPr>
          <w:rFonts w:ascii="Times New Roman" w:hAnsi="Times New Roman" w:cs="Times New Roman"/>
          <w:color w:val="000000" w:themeColor="text1"/>
        </w:rPr>
        <w:t>Department of Nursing, Central Taiwan University of Science and Technology, Taichung, Taiwan</w:t>
      </w:r>
    </w:p>
    <w:p w14:paraId="4AC0048C" w14:textId="0FBD7561" w:rsidR="00056E2B" w:rsidRPr="004B546E" w:rsidRDefault="004D4BBA" w:rsidP="00056E2B">
      <w:pPr>
        <w:rPr>
          <w:rFonts w:ascii="Times New Roman" w:hAnsi="Times New Roman" w:cs="Times New Roman"/>
          <w:color w:val="000000" w:themeColor="text1"/>
        </w:rPr>
      </w:pPr>
      <w:r w:rsidRPr="004B546E">
        <w:rPr>
          <w:rFonts w:ascii="Times New Roman" w:hAnsi="Times New Roman" w:cs="Times New Roman"/>
          <w:color w:val="000000" w:themeColor="text1"/>
          <w:vertAlign w:val="superscript"/>
        </w:rPr>
        <w:t>6</w:t>
      </w:r>
      <w:r w:rsidR="00056E2B" w:rsidRPr="004B546E">
        <w:rPr>
          <w:rFonts w:ascii="Times New Roman" w:hAnsi="Times New Roman" w:cs="Times New Roman"/>
          <w:color w:val="000000" w:themeColor="text1"/>
        </w:rPr>
        <w:t xml:space="preserve"> Institute for Research into Cancer of the Digestive System (IRCAD) - Taiwan and Asian Institute of TeleSurgery, Show Chwan Health Care System, Changhua, Taiwan</w:t>
      </w:r>
    </w:p>
    <w:p w14:paraId="5A2CAA7F" w14:textId="77777777" w:rsidR="00056E2B" w:rsidRPr="004B546E" w:rsidRDefault="00056E2B" w:rsidP="00BB52E3">
      <w:pPr>
        <w:rPr>
          <w:rFonts w:ascii="Times New Roman" w:hAnsi="Times New Roman" w:cs="Times New Roman"/>
          <w:color w:val="000000" w:themeColor="text1"/>
        </w:rPr>
      </w:pPr>
    </w:p>
    <w:p w14:paraId="3C29B544" w14:textId="7A97DF9A" w:rsidR="00BB52E3" w:rsidRPr="004B546E" w:rsidRDefault="00BB52E3" w:rsidP="00BB52E3">
      <w:pPr>
        <w:rPr>
          <w:rFonts w:ascii="Times New Roman" w:hAnsi="Times New Roman" w:cs="Times New Roman"/>
          <w:color w:val="000000" w:themeColor="text1"/>
        </w:rPr>
      </w:pPr>
      <w:r w:rsidRPr="004B546E">
        <w:rPr>
          <w:rFonts w:ascii="Times New Roman" w:hAnsi="Times New Roman" w:cs="Times New Roman" w:hint="eastAsia"/>
          <w:color w:val="000000" w:themeColor="text1"/>
        </w:rPr>
        <w:t>R</w:t>
      </w:r>
      <w:r w:rsidRPr="004B546E">
        <w:rPr>
          <w:rFonts w:ascii="Times New Roman" w:hAnsi="Times New Roman" w:cs="Times New Roman"/>
          <w:color w:val="000000" w:themeColor="text1"/>
        </w:rPr>
        <w:t xml:space="preserve">unning title: </w:t>
      </w:r>
      <w:r w:rsidR="00A176B8" w:rsidRPr="004B546E">
        <w:rPr>
          <w:rFonts w:ascii="Times New Roman" w:hAnsi="Times New Roman" w:cs="Times New Roman"/>
          <w:color w:val="000000" w:themeColor="text1"/>
        </w:rPr>
        <w:t>Ultrasound vs Landmark PIVC Outcomes</w:t>
      </w:r>
    </w:p>
    <w:p w14:paraId="271BC89F" w14:textId="77777777" w:rsidR="00BB52E3" w:rsidRPr="004B546E" w:rsidRDefault="00BB52E3" w:rsidP="00BB52E3">
      <w:pPr>
        <w:rPr>
          <w:rFonts w:ascii="Times New Roman" w:hAnsi="Times New Roman" w:cs="Times New Roman"/>
          <w:color w:val="000000" w:themeColor="text1"/>
        </w:rPr>
      </w:pPr>
      <w:r w:rsidRPr="004B546E">
        <w:rPr>
          <w:rFonts w:ascii="Times New Roman" w:hAnsi="Times New Roman" w:cs="Times New Roman"/>
          <w:color w:val="000000" w:themeColor="text1"/>
        </w:rPr>
        <w:t>Corresponding Author: Chia-Ching Chen</w:t>
      </w:r>
    </w:p>
    <w:p w14:paraId="6FEC4A36" w14:textId="77777777" w:rsidR="00BB52E3" w:rsidRPr="004B546E" w:rsidRDefault="00BB52E3" w:rsidP="00BB52E3">
      <w:pPr>
        <w:rPr>
          <w:rFonts w:ascii="Times New Roman" w:hAnsi="Times New Roman" w:cs="Times New Roman"/>
          <w:color w:val="000000" w:themeColor="text1"/>
        </w:rPr>
      </w:pPr>
      <w:r w:rsidRPr="004B546E">
        <w:rPr>
          <w:rFonts w:ascii="Times New Roman" w:hAnsi="Times New Roman" w:cs="Times New Roman"/>
          <w:color w:val="000000" w:themeColor="text1"/>
        </w:rPr>
        <w:t>Department of Emergency Medicine, Chang Bing Show Chwan Memorial Hospital, No. 6 Lugong Road. Lukang Zhen, Changhua County, Taiwan, ROC</w:t>
      </w:r>
    </w:p>
    <w:p w14:paraId="56E7DA46" w14:textId="77777777" w:rsidR="00BB52E3" w:rsidRPr="004B546E" w:rsidRDefault="00BB52E3" w:rsidP="00BB52E3">
      <w:pPr>
        <w:rPr>
          <w:rFonts w:ascii="Times New Roman" w:hAnsi="Times New Roman" w:cs="Times New Roman"/>
          <w:color w:val="000000" w:themeColor="text1"/>
        </w:rPr>
      </w:pPr>
      <w:r w:rsidRPr="004B546E">
        <w:rPr>
          <w:rFonts w:ascii="Times New Roman" w:hAnsi="Times New Roman" w:cs="Times New Roman"/>
          <w:color w:val="000000" w:themeColor="text1"/>
        </w:rPr>
        <w:t>Tel: +886-4-7813888 ext:71299</w:t>
      </w:r>
    </w:p>
    <w:p w14:paraId="17AD958F" w14:textId="77777777" w:rsidR="00BB52E3" w:rsidRPr="004B546E" w:rsidRDefault="00BB52E3" w:rsidP="00BB52E3">
      <w:pPr>
        <w:rPr>
          <w:rFonts w:ascii="Times New Roman" w:hAnsi="Times New Roman" w:cs="Times New Roman"/>
          <w:color w:val="000000" w:themeColor="text1"/>
        </w:rPr>
      </w:pPr>
      <w:r w:rsidRPr="004B546E">
        <w:rPr>
          <w:rFonts w:ascii="Times New Roman" w:hAnsi="Times New Roman" w:cs="Times New Roman"/>
          <w:color w:val="000000" w:themeColor="text1"/>
        </w:rPr>
        <w:t xml:space="preserve">E-mail: </w:t>
      </w:r>
      <w:hyperlink r:id="rId7" w:history="1">
        <w:r w:rsidRPr="004B546E">
          <w:rPr>
            <w:rStyle w:val="a5"/>
            <w:rFonts w:ascii="Times New Roman" w:hAnsi="Times New Roman" w:cs="Times New Roman"/>
            <w:color w:val="000000" w:themeColor="text1"/>
          </w:rPr>
          <w:t>medlife.c11g@gmail.com</w:t>
        </w:r>
      </w:hyperlink>
    </w:p>
    <w:p w14:paraId="579BDB77" w14:textId="59C8964D" w:rsidR="00075FAB" w:rsidRPr="004B546E" w:rsidRDefault="00075FAB" w:rsidP="00075FAB">
      <w:pPr>
        <w:rPr>
          <w:rFonts w:ascii="Times New Roman" w:hAnsi="Times New Roman" w:cs="Times New Roman"/>
          <w:color w:val="000000" w:themeColor="text1"/>
        </w:rPr>
      </w:pPr>
      <w:r w:rsidRPr="004B546E">
        <w:rPr>
          <w:rFonts w:ascii="Times New Roman" w:hAnsi="Times New Roman" w:cs="Times New Roman"/>
          <w:color w:val="000000" w:themeColor="text1"/>
          <w:vertAlign w:val="superscript"/>
        </w:rPr>
        <w:t>†</w:t>
      </w:r>
      <w:r w:rsidRPr="004B546E">
        <w:rPr>
          <w:rFonts w:ascii="Times New Roman" w:hAnsi="Times New Roman" w:cs="Times New Roman"/>
          <w:color w:val="000000" w:themeColor="text1"/>
        </w:rPr>
        <w:t>These authors contributed equally to this work</w:t>
      </w:r>
    </w:p>
    <w:p w14:paraId="7F3AF776" w14:textId="143474DD" w:rsidR="007872FC" w:rsidRPr="004B546E" w:rsidRDefault="007872FC" w:rsidP="00075FAB">
      <w:pPr>
        <w:rPr>
          <w:rFonts w:ascii="Times New Roman" w:hAnsi="Times New Roman" w:cs="Times New Roman"/>
          <w:color w:val="000000" w:themeColor="text1"/>
        </w:rPr>
      </w:pPr>
    </w:p>
    <w:p w14:paraId="3B73F3AA" w14:textId="6A578F21" w:rsidR="007872FC" w:rsidRPr="004B546E" w:rsidRDefault="007872FC" w:rsidP="00075FAB">
      <w:pPr>
        <w:rPr>
          <w:rFonts w:ascii="Times New Roman" w:hAnsi="Times New Roman" w:cs="Times New Roman"/>
          <w:color w:val="000000" w:themeColor="text1"/>
        </w:rPr>
      </w:pPr>
    </w:p>
    <w:p w14:paraId="3C1AE50B" w14:textId="6ED19ABB" w:rsidR="007872FC" w:rsidRPr="004B546E" w:rsidRDefault="007872FC" w:rsidP="00075FAB">
      <w:pPr>
        <w:rPr>
          <w:rFonts w:ascii="Times New Roman" w:hAnsi="Times New Roman" w:cs="Times New Roman"/>
          <w:color w:val="000000" w:themeColor="text1"/>
        </w:rPr>
      </w:pPr>
    </w:p>
    <w:p w14:paraId="7A29D990" w14:textId="328C5D3A" w:rsidR="007872FC" w:rsidRPr="004B546E" w:rsidRDefault="007872FC" w:rsidP="00075FAB">
      <w:pPr>
        <w:rPr>
          <w:rFonts w:ascii="Times New Roman" w:hAnsi="Times New Roman" w:cs="Times New Roman"/>
          <w:color w:val="000000" w:themeColor="text1"/>
        </w:rPr>
      </w:pPr>
    </w:p>
    <w:p w14:paraId="4DE153E9" w14:textId="585CE351" w:rsidR="007872FC" w:rsidRPr="004B546E" w:rsidRDefault="007872FC" w:rsidP="00075FAB">
      <w:pPr>
        <w:rPr>
          <w:rFonts w:ascii="Times New Roman" w:hAnsi="Times New Roman" w:cs="Times New Roman"/>
          <w:color w:val="000000" w:themeColor="text1"/>
        </w:rPr>
      </w:pPr>
    </w:p>
    <w:p w14:paraId="7E8973D0" w14:textId="7A2CE726" w:rsidR="007872FC" w:rsidRPr="004B546E" w:rsidRDefault="007872FC" w:rsidP="00075FAB">
      <w:pPr>
        <w:rPr>
          <w:rFonts w:ascii="Times New Roman" w:hAnsi="Times New Roman" w:cs="Times New Roman"/>
          <w:color w:val="000000" w:themeColor="text1"/>
        </w:rPr>
      </w:pPr>
    </w:p>
    <w:p w14:paraId="27AC8EEC" w14:textId="21F3BFCA" w:rsidR="007872FC" w:rsidRPr="004B546E" w:rsidRDefault="007872FC" w:rsidP="00075FAB">
      <w:pPr>
        <w:rPr>
          <w:rFonts w:ascii="Times New Roman" w:hAnsi="Times New Roman" w:cs="Times New Roman"/>
          <w:color w:val="000000" w:themeColor="text1"/>
        </w:rPr>
      </w:pPr>
    </w:p>
    <w:p w14:paraId="1F1169DF" w14:textId="7A176068" w:rsidR="007872FC" w:rsidRPr="004B546E" w:rsidRDefault="007872FC" w:rsidP="00075FAB">
      <w:pPr>
        <w:rPr>
          <w:rFonts w:ascii="Times New Roman" w:hAnsi="Times New Roman" w:cs="Times New Roman"/>
          <w:color w:val="000000" w:themeColor="text1"/>
        </w:rPr>
      </w:pPr>
    </w:p>
    <w:p w14:paraId="6DDA7229" w14:textId="705A7CD0" w:rsidR="007872FC" w:rsidRPr="004B546E" w:rsidRDefault="007872FC" w:rsidP="00075FAB">
      <w:pPr>
        <w:rPr>
          <w:rFonts w:ascii="Times New Roman" w:hAnsi="Times New Roman" w:cs="Times New Roman"/>
          <w:color w:val="000000" w:themeColor="text1"/>
        </w:rPr>
      </w:pPr>
    </w:p>
    <w:p w14:paraId="5A732362" w14:textId="0E214F21" w:rsidR="007872FC" w:rsidRPr="004B546E" w:rsidRDefault="007872FC" w:rsidP="00075FAB">
      <w:pPr>
        <w:rPr>
          <w:rFonts w:ascii="Times New Roman" w:hAnsi="Times New Roman" w:cs="Times New Roman"/>
          <w:color w:val="000000" w:themeColor="text1"/>
        </w:rPr>
      </w:pPr>
    </w:p>
    <w:p w14:paraId="2EE56760" w14:textId="31BBA52B" w:rsidR="007872FC" w:rsidRPr="004B546E" w:rsidRDefault="007872FC" w:rsidP="00075FAB">
      <w:pPr>
        <w:rPr>
          <w:rFonts w:ascii="Times New Roman" w:hAnsi="Times New Roman" w:cs="Times New Roman"/>
          <w:color w:val="000000" w:themeColor="text1"/>
        </w:rPr>
      </w:pPr>
    </w:p>
    <w:p w14:paraId="06BC2D8E" w14:textId="7C2C4646" w:rsidR="007872FC" w:rsidRPr="004B546E" w:rsidRDefault="007872FC" w:rsidP="00075FAB">
      <w:pPr>
        <w:rPr>
          <w:rFonts w:ascii="Times New Roman" w:hAnsi="Times New Roman" w:cs="Times New Roman"/>
          <w:color w:val="000000" w:themeColor="text1"/>
        </w:rPr>
      </w:pPr>
    </w:p>
    <w:p w14:paraId="4990D348" w14:textId="540641B4" w:rsidR="007872FC" w:rsidRPr="004B546E" w:rsidRDefault="007872FC" w:rsidP="00075FAB">
      <w:pPr>
        <w:rPr>
          <w:rFonts w:ascii="Times New Roman" w:hAnsi="Times New Roman" w:cs="Times New Roman"/>
          <w:color w:val="000000" w:themeColor="text1"/>
        </w:rPr>
      </w:pPr>
    </w:p>
    <w:p w14:paraId="0F137A59" w14:textId="794967A5" w:rsidR="007872FC" w:rsidRPr="004B546E" w:rsidRDefault="007872FC" w:rsidP="00075FAB">
      <w:pPr>
        <w:rPr>
          <w:rFonts w:ascii="Times New Roman" w:hAnsi="Times New Roman" w:cs="Times New Roman"/>
          <w:color w:val="000000" w:themeColor="text1"/>
        </w:rPr>
      </w:pPr>
    </w:p>
    <w:p w14:paraId="101A1171" w14:textId="531BD020" w:rsidR="007872FC" w:rsidRPr="004B546E" w:rsidRDefault="007872FC" w:rsidP="00075FAB">
      <w:pPr>
        <w:rPr>
          <w:rFonts w:ascii="Times New Roman" w:hAnsi="Times New Roman" w:cs="Times New Roman"/>
          <w:color w:val="000000" w:themeColor="text1"/>
        </w:rPr>
      </w:pPr>
    </w:p>
    <w:p w14:paraId="6D0C3EAE" w14:textId="09CD7800" w:rsidR="007872FC" w:rsidRPr="004B546E" w:rsidRDefault="007872FC" w:rsidP="00075FAB">
      <w:pPr>
        <w:rPr>
          <w:rFonts w:ascii="Times New Roman" w:hAnsi="Times New Roman" w:cs="Times New Roman"/>
          <w:color w:val="000000" w:themeColor="text1"/>
        </w:rPr>
      </w:pPr>
    </w:p>
    <w:p w14:paraId="2A8142F0" w14:textId="4AB9846E" w:rsidR="007872FC" w:rsidRPr="004B546E" w:rsidRDefault="007872FC" w:rsidP="00075FAB">
      <w:pPr>
        <w:rPr>
          <w:rFonts w:ascii="Times New Roman" w:hAnsi="Times New Roman" w:cs="Times New Roman"/>
          <w:color w:val="000000" w:themeColor="text1"/>
        </w:rPr>
      </w:pPr>
    </w:p>
    <w:p w14:paraId="4A1A5C75" w14:textId="7059CEF1" w:rsidR="006C2A13" w:rsidRPr="004B546E" w:rsidRDefault="006C2A13" w:rsidP="00075FAB">
      <w:pPr>
        <w:rPr>
          <w:rFonts w:ascii="Times New Roman" w:hAnsi="Times New Roman" w:cs="Times New Roman"/>
          <w:color w:val="000000" w:themeColor="text1"/>
        </w:rPr>
      </w:pPr>
    </w:p>
    <w:p w14:paraId="4064D69B" w14:textId="7789D73D" w:rsidR="006C2A13" w:rsidRPr="004B546E" w:rsidRDefault="006C2A13" w:rsidP="00075FAB">
      <w:pPr>
        <w:rPr>
          <w:rFonts w:ascii="Times New Roman" w:hAnsi="Times New Roman" w:cs="Times New Roman"/>
          <w:color w:val="000000" w:themeColor="text1"/>
        </w:rPr>
      </w:pPr>
    </w:p>
    <w:p w14:paraId="7E1344AE" w14:textId="443EBB6D" w:rsidR="006C2A13" w:rsidRPr="004B546E" w:rsidRDefault="006C2A13" w:rsidP="00075FAB">
      <w:pPr>
        <w:rPr>
          <w:rFonts w:ascii="Times New Roman" w:hAnsi="Times New Roman" w:cs="Times New Roman"/>
          <w:color w:val="000000" w:themeColor="text1"/>
        </w:rPr>
      </w:pPr>
    </w:p>
    <w:p w14:paraId="35A913F3" w14:textId="326F1277" w:rsidR="006C2A13" w:rsidRPr="004B546E" w:rsidRDefault="006C2A13" w:rsidP="00075FAB">
      <w:pPr>
        <w:rPr>
          <w:rFonts w:ascii="Times New Roman" w:hAnsi="Times New Roman" w:cs="Times New Roman"/>
          <w:color w:val="000000" w:themeColor="text1"/>
        </w:rPr>
      </w:pPr>
    </w:p>
    <w:p w14:paraId="6A243A1E" w14:textId="0AD67767" w:rsidR="006C2A13" w:rsidRPr="004B546E" w:rsidRDefault="006C2A13" w:rsidP="00075FAB">
      <w:pPr>
        <w:rPr>
          <w:rFonts w:ascii="Times New Roman" w:hAnsi="Times New Roman" w:cs="Times New Roman"/>
          <w:color w:val="000000" w:themeColor="text1"/>
        </w:rPr>
      </w:pPr>
    </w:p>
    <w:p w14:paraId="60AF7079" w14:textId="457ACBCA" w:rsidR="006C2A13" w:rsidRPr="004B546E" w:rsidRDefault="006C2A13" w:rsidP="00075FAB">
      <w:pPr>
        <w:rPr>
          <w:rFonts w:ascii="Times New Roman" w:hAnsi="Times New Roman" w:cs="Times New Roman"/>
          <w:color w:val="000000" w:themeColor="text1"/>
        </w:rPr>
      </w:pPr>
    </w:p>
    <w:p w14:paraId="12E8EB90" w14:textId="0CA1AB5D" w:rsidR="006C2A13" w:rsidRPr="004B546E" w:rsidRDefault="006C2A13" w:rsidP="00075FAB">
      <w:pPr>
        <w:rPr>
          <w:rFonts w:ascii="Times New Roman" w:hAnsi="Times New Roman" w:cs="Times New Roman"/>
          <w:color w:val="000000" w:themeColor="text1"/>
        </w:rPr>
      </w:pPr>
    </w:p>
    <w:p w14:paraId="3137BD2B" w14:textId="4260DECE" w:rsidR="006C2A13" w:rsidRPr="004B546E" w:rsidRDefault="006C2A13" w:rsidP="00075FAB">
      <w:pPr>
        <w:rPr>
          <w:rFonts w:ascii="Times New Roman" w:hAnsi="Times New Roman" w:cs="Times New Roman"/>
          <w:color w:val="000000" w:themeColor="text1"/>
        </w:rPr>
      </w:pPr>
    </w:p>
    <w:p w14:paraId="195069EB" w14:textId="3CFC111F" w:rsidR="006C2A13" w:rsidRPr="004B546E" w:rsidRDefault="006C2A13" w:rsidP="00075FAB">
      <w:pPr>
        <w:rPr>
          <w:rFonts w:ascii="Times New Roman" w:hAnsi="Times New Roman" w:cs="Times New Roman"/>
          <w:color w:val="000000" w:themeColor="text1"/>
        </w:rPr>
      </w:pPr>
    </w:p>
    <w:p w14:paraId="2D29A74F" w14:textId="32043B65" w:rsidR="006C2A13" w:rsidRPr="004B546E" w:rsidRDefault="006C2A13" w:rsidP="00075FAB">
      <w:pPr>
        <w:rPr>
          <w:rFonts w:ascii="Times New Roman" w:hAnsi="Times New Roman" w:cs="Times New Roman"/>
          <w:color w:val="000000" w:themeColor="text1"/>
        </w:rPr>
      </w:pPr>
    </w:p>
    <w:p w14:paraId="67676649" w14:textId="77777777" w:rsidR="006C2A13" w:rsidRPr="004B546E" w:rsidRDefault="006C2A13" w:rsidP="00075FAB">
      <w:pPr>
        <w:rPr>
          <w:rFonts w:ascii="Times New Roman" w:hAnsi="Times New Roman" w:cs="Times New Roman"/>
          <w:color w:val="000000" w:themeColor="text1"/>
        </w:rPr>
      </w:pPr>
    </w:p>
    <w:p w14:paraId="03998728" w14:textId="77777777" w:rsidR="007872FC" w:rsidRPr="004B546E" w:rsidRDefault="007872FC" w:rsidP="007872FC">
      <w:pPr>
        <w:pStyle w:val="FirstParagraph"/>
        <w:rPr>
          <w:rFonts w:ascii="Times New Roman" w:hAnsi="Times New Roman" w:cs="Times New Roman"/>
          <w:b/>
          <w:bCs/>
          <w:color w:val="000000" w:themeColor="text1"/>
        </w:rPr>
      </w:pPr>
      <w:r w:rsidRPr="004B546E">
        <w:rPr>
          <w:rFonts w:ascii="Times New Roman" w:hAnsi="Times New Roman" w:cs="Times New Roman"/>
          <w:b/>
          <w:bCs/>
          <w:color w:val="000000" w:themeColor="text1"/>
        </w:rPr>
        <w:lastRenderedPageBreak/>
        <w:t>Abstract</w:t>
      </w:r>
    </w:p>
    <w:p w14:paraId="7B6568BD" w14:textId="5E7B5C58" w:rsidR="00BE2B72" w:rsidRPr="004B546E" w:rsidRDefault="00A6622D" w:rsidP="00BE2B72">
      <w:pPr>
        <w:pStyle w:val="a0"/>
        <w:rPr>
          <w:rFonts w:ascii="Times New Roman" w:hAnsi="Times New Roman" w:cs="Times New Roman"/>
          <w:color w:val="000000" w:themeColor="text1"/>
          <w:kern w:val="0"/>
          <w:szCs w:val="24"/>
          <w:lang w:eastAsia="en-US"/>
        </w:rPr>
      </w:pPr>
      <w:r w:rsidRPr="00A6622D">
        <w:rPr>
          <w:rFonts w:ascii="Times New Roman" w:hAnsi="Times New Roman" w:cs="Times New Roman"/>
          <w:b/>
          <w:bCs/>
          <w:color w:val="000000" w:themeColor="text1"/>
          <w:kern w:val="0"/>
          <w:szCs w:val="24"/>
          <w:lang w:eastAsia="en-US"/>
        </w:rPr>
        <w:t>Background</w:t>
      </w:r>
      <w:r w:rsidR="00BE2B72" w:rsidRPr="004B546E">
        <w:rPr>
          <w:rFonts w:ascii="Times New Roman" w:hAnsi="Times New Roman" w:cs="Times New Roman"/>
          <w:color w:val="000000" w:themeColor="text1"/>
          <w:kern w:val="0"/>
          <w:szCs w:val="24"/>
          <w:lang w:eastAsia="en-US"/>
        </w:rPr>
        <w:t>: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14:paraId="7053C99A" w14:textId="508B2343" w:rsidR="00BE2B72" w:rsidRPr="004B546E" w:rsidRDefault="00BE2B72" w:rsidP="00BE2B72">
      <w:pPr>
        <w:pStyle w:val="a0"/>
        <w:rPr>
          <w:rFonts w:ascii="Times New Roman" w:hAnsi="Times New Roman" w:cs="Times New Roman"/>
          <w:color w:val="000000" w:themeColor="text1"/>
          <w:kern w:val="0"/>
          <w:szCs w:val="24"/>
          <w:lang w:eastAsia="en-US"/>
        </w:rPr>
      </w:pPr>
      <w:r w:rsidRPr="004B546E">
        <w:rPr>
          <w:rFonts w:ascii="Times New Roman" w:hAnsi="Times New Roman" w:cs="Times New Roman"/>
          <w:b/>
          <w:bCs/>
          <w:color w:val="000000" w:themeColor="text1"/>
          <w:kern w:val="0"/>
          <w:szCs w:val="24"/>
          <w:lang w:eastAsia="en-US"/>
        </w:rPr>
        <w:t>Methods</w:t>
      </w:r>
      <w:r w:rsidRPr="004B546E">
        <w:rPr>
          <w:rFonts w:ascii="Times New Roman" w:hAnsi="Times New Roman" w:cs="Times New Roman"/>
          <w:color w:val="000000" w:themeColor="text1"/>
          <w:kern w:val="0"/>
          <w:szCs w:val="24"/>
          <w:lang w:eastAsia="en-US"/>
        </w:rPr>
        <w:t>: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RoB 2 and the Newcastle-Ottawa Scale. Random-effects meta-analysis used the DerSimonian-Laird estimator as the pre-specified primary approach; REML with Hartung-Knapp-Sidik-Jonkman adjustment was performed as a post-hoc sensitivity analysis because few studies contributed to each pooled outcome.</w:t>
      </w:r>
    </w:p>
    <w:p w14:paraId="5692D5B5" w14:textId="0C4BBC80" w:rsidR="00BE2B72" w:rsidRPr="004B546E" w:rsidRDefault="00BE2B72" w:rsidP="00BE2B72">
      <w:pPr>
        <w:pStyle w:val="a0"/>
        <w:rPr>
          <w:rFonts w:ascii="Times New Roman" w:hAnsi="Times New Roman" w:cs="Times New Roman"/>
          <w:color w:val="000000" w:themeColor="text1"/>
          <w:kern w:val="0"/>
          <w:szCs w:val="24"/>
          <w:lang w:eastAsia="en-US"/>
        </w:rPr>
      </w:pPr>
      <w:r w:rsidRPr="004B546E">
        <w:rPr>
          <w:rFonts w:ascii="Times New Roman" w:hAnsi="Times New Roman" w:cs="Times New Roman"/>
          <w:b/>
          <w:bCs/>
          <w:color w:val="000000" w:themeColor="text1"/>
          <w:kern w:val="0"/>
          <w:szCs w:val="24"/>
          <w:lang w:eastAsia="en-US"/>
        </w:rPr>
        <w:t>Results</w:t>
      </w:r>
      <w:r w:rsidRPr="004B546E">
        <w:rPr>
          <w:rFonts w:ascii="Times New Roman" w:hAnsi="Times New Roman" w:cs="Times New Roman"/>
          <w:color w:val="000000" w:themeColor="text1"/>
          <w:kern w:val="0"/>
          <w:szCs w:val="24"/>
          <w:lang w:eastAsia="en-US"/>
        </w:rPr>
        <w:t>: Fourteen studies (5 randomized trials, 9 cohort studies; 78,209 participants) were included. Catheter failure did not differ significantly between USG and landmark groups (k = 4; RR 1.23, 95% CI 0.99–1.51; p = 0.056), although the estimate was sensitive to model choice and to exclusion of the largest contributing study. Dwell time and extravasation were not pooled because of substantial heterogeneity (I² = 91.9% and 95.7%, respectively). Infiltration did not differ significantly (k = 2; RR 0.68, 95% CI 0.12–3.83). Several studies reporting favorable USG results were substantially confounded by systematic differences in catheter length or material between groups.</w:t>
      </w:r>
    </w:p>
    <w:p w14:paraId="2CEFF30B" w14:textId="77777777" w:rsidR="00BE2B72" w:rsidRPr="004B546E" w:rsidRDefault="00BE2B72" w:rsidP="00BE2B72">
      <w:pPr>
        <w:pStyle w:val="a0"/>
        <w:rPr>
          <w:rFonts w:ascii="Times New Roman" w:hAnsi="Times New Roman" w:cs="Times New Roman"/>
          <w:b/>
          <w:bCs/>
          <w:color w:val="000000" w:themeColor="text1"/>
          <w:kern w:val="0"/>
          <w:szCs w:val="24"/>
          <w:lang w:eastAsia="en-US"/>
        </w:rPr>
      </w:pPr>
      <w:r w:rsidRPr="004B546E">
        <w:rPr>
          <w:rFonts w:ascii="Times New Roman" w:hAnsi="Times New Roman" w:cs="Times New Roman"/>
          <w:b/>
          <w:bCs/>
          <w:color w:val="000000" w:themeColor="text1"/>
          <w:kern w:val="0"/>
          <w:szCs w:val="24"/>
          <w:lang w:eastAsia="en-US"/>
        </w:rPr>
        <w:t>Conclusions</w:t>
      </w:r>
      <w:r w:rsidRPr="004B546E">
        <w:rPr>
          <w:rFonts w:ascii="Times New Roman" w:hAnsi="Times New Roman" w:cs="Times New Roman"/>
          <w:color w:val="000000" w:themeColor="text1"/>
          <w:kern w:val="0"/>
          <w:szCs w:val="24"/>
          <w:lang w:eastAsia="en-US"/>
        </w:rPr>
        <w:t>: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w:t>
      </w:r>
      <w:r w:rsidRPr="004B546E">
        <w:rPr>
          <w:rFonts w:ascii="Times New Roman" w:hAnsi="Times New Roman" w:cs="Times New Roman"/>
          <w:b/>
          <w:bCs/>
          <w:color w:val="000000" w:themeColor="text1"/>
          <w:kern w:val="0"/>
          <w:szCs w:val="24"/>
          <w:lang w:eastAsia="en-US"/>
        </w:rPr>
        <w:t xml:space="preserve"> </w:t>
      </w:r>
    </w:p>
    <w:p w14:paraId="7CED434A" w14:textId="320CB7B2" w:rsidR="007872FC" w:rsidRPr="004B546E" w:rsidRDefault="007872FC" w:rsidP="00BE2B72">
      <w:pPr>
        <w:pStyle w:val="a0"/>
        <w:rPr>
          <w:rFonts w:ascii="Times New Roman" w:hAnsi="Times New Roman" w:cs="Times New Roman"/>
          <w:color w:val="000000" w:themeColor="text1"/>
        </w:rPr>
      </w:pPr>
      <w:r w:rsidRPr="004B546E">
        <w:rPr>
          <w:rFonts w:ascii="Times New Roman" w:hAnsi="Times New Roman" w:cs="Times New Roman"/>
          <w:b/>
          <w:bCs/>
          <w:color w:val="000000" w:themeColor="text1"/>
        </w:rPr>
        <w:t>Keywords:</w:t>
      </w:r>
      <w:r w:rsidRPr="004B546E">
        <w:rPr>
          <w:rFonts w:ascii="Times New Roman" w:hAnsi="Times New Roman" w:cs="Times New Roman"/>
          <w:color w:val="000000" w:themeColor="text1"/>
        </w:rPr>
        <w:t xml:space="preserve"> peripheral intravenous catheter, ultrasound-guided, landmark, difficult intravenous access (DIVA), catheter failure, dwell time, extravasation, systematic review, meta-analysis</w:t>
      </w:r>
    </w:p>
    <w:p w14:paraId="7AAD0350" w14:textId="2A480CEC" w:rsidR="007872FC" w:rsidRPr="004B546E" w:rsidRDefault="007872FC" w:rsidP="00075FAB">
      <w:pPr>
        <w:rPr>
          <w:rFonts w:ascii="Times New Roman" w:hAnsi="Times New Roman" w:cs="Times New Roman"/>
          <w:b/>
          <w:bCs/>
          <w:color w:val="000000" w:themeColor="text1"/>
        </w:rPr>
      </w:pPr>
    </w:p>
    <w:p w14:paraId="29248FAE" w14:textId="7AA8C6CC" w:rsidR="00E8378C" w:rsidRPr="004B546E" w:rsidRDefault="00E8378C" w:rsidP="00075FAB">
      <w:pPr>
        <w:rPr>
          <w:rFonts w:ascii="Times New Roman" w:hAnsi="Times New Roman" w:cs="Times New Roman"/>
          <w:b/>
          <w:bCs/>
          <w:color w:val="000000" w:themeColor="text1"/>
        </w:rPr>
      </w:pPr>
    </w:p>
    <w:p w14:paraId="37DF6FFA" w14:textId="04CBDB23" w:rsidR="00E8378C" w:rsidRPr="004B546E" w:rsidRDefault="00E8378C" w:rsidP="00075FAB">
      <w:pPr>
        <w:rPr>
          <w:rFonts w:ascii="Times New Roman" w:hAnsi="Times New Roman" w:cs="Times New Roman"/>
          <w:b/>
          <w:bCs/>
          <w:color w:val="000000" w:themeColor="text1"/>
        </w:rPr>
      </w:pPr>
    </w:p>
    <w:p w14:paraId="1BA26E50" w14:textId="416EA710" w:rsidR="006C2A13" w:rsidRPr="004B546E" w:rsidRDefault="006C2A13" w:rsidP="00075FAB">
      <w:pPr>
        <w:rPr>
          <w:rFonts w:ascii="Times New Roman" w:hAnsi="Times New Roman" w:cs="Times New Roman"/>
          <w:b/>
          <w:bCs/>
          <w:color w:val="000000" w:themeColor="text1"/>
        </w:rPr>
      </w:pPr>
    </w:p>
    <w:p w14:paraId="4D0BECE6" w14:textId="5D8C1675" w:rsidR="006C2A13" w:rsidRPr="004B546E" w:rsidRDefault="006C2A13" w:rsidP="00075FAB">
      <w:pPr>
        <w:rPr>
          <w:rFonts w:ascii="Times New Roman" w:hAnsi="Times New Roman" w:cs="Times New Roman"/>
          <w:b/>
          <w:bCs/>
          <w:color w:val="000000" w:themeColor="text1"/>
        </w:rPr>
      </w:pPr>
    </w:p>
    <w:p w14:paraId="62467DB7" w14:textId="4551AEF2" w:rsidR="006C2A13" w:rsidRPr="004B546E" w:rsidRDefault="006C2A13" w:rsidP="00075FAB">
      <w:pPr>
        <w:rPr>
          <w:rFonts w:ascii="Times New Roman" w:hAnsi="Times New Roman" w:cs="Times New Roman"/>
          <w:b/>
          <w:bCs/>
          <w:color w:val="000000" w:themeColor="text1"/>
        </w:rPr>
      </w:pPr>
    </w:p>
    <w:p w14:paraId="69B14F1B" w14:textId="5234ACCD" w:rsidR="006C2A13" w:rsidRPr="004B546E" w:rsidRDefault="006C2A13" w:rsidP="00075FAB">
      <w:pPr>
        <w:rPr>
          <w:rFonts w:ascii="Times New Roman" w:hAnsi="Times New Roman" w:cs="Times New Roman"/>
          <w:b/>
          <w:bCs/>
          <w:color w:val="000000" w:themeColor="text1"/>
        </w:rPr>
      </w:pPr>
    </w:p>
    <w:p w14:paraId="49D62730" w14:textId="37AA39CD" w:rsidR="006C2A13" w:rsidRPr="004B546E" w:rsidRDefault="006C2A13" w:rsidP="00075FAB">
      <w:pPr>
        <w:rPr>
          <w:rFonts w:ascii="Times New Roman" w:hAnsi="Times New Roman" w:cs="Times New Roman"/>
          <w:b/>
          <w:bCs/>
          <w:color w:val="000000" w:themeColor="text1"/>
        </w:rPr>
      </w:pPr>
    </w:p>
    <w:p w14:paraId="18782D64" w14:textId="5572067B" w:rsidR="006C2A13" w:rsidRPr="004B546E" w:rsidRDefault="006C2A13" w:rsidP="00075FAB">
      <w:pPr>
        <w:rPr>
          <w:rFonts w:ascii="Times New Roman" w:hAnsi="Times New Roman" w:cs="Times New Roman"/>
          <w:b/>
          <w:bCs/>
          <w:color w:val="000000" w:themeColor="text1"/>
        </w:rPr>
      </w:pPr>
    </w:p>
    <w:p w14:paraId="126F7C85" w14:textId="5A08BA01" w:rsidR="006C2A13" w:rsidRPr="004B546E" w:rsidRDefault="006C2A13" w:rsidP="00075FAB">
      <w:pPr>
        <w:rPr>
          <w:rFonts w:ascii="Times New Roman" w:hAnsi="Times New Roman" w:cs="Times New Roman"/>
          <w:b/>
          <w:bCs/>
          <w:color w:val="000000" w:themeColor="text1"/>
        </w:rPr>
      </w:pPr>
    </w:p>
    <w:p w14:paraId="1BD4A157" w14:textId="473E4C70" w:rsidR="006C2A13" w:rsidRPr="004B546E" w:rsidRDefault="006C2A13" w:rsidP="00075FAB">
      <w:pPr>
        <w:rPr>
          <w:rFonts w:ascii="Times New Roman" w:hAnsi="Times New Roman" w:cs="Times New Roman"/>
          <w:b/>
          <w:bCs/>
          <w:color w:val="000000" w:themeColor="text1"/>
        </w:rPr>
      </w:pPr>
    </w:p>
    <w:p w14:paraId="3C07499E" w14:textId="7E9FFF92" w:rsidR="006C2A13" w:rsidRPr="004B546E" w:rsidRDefault="006C2A13" w:rsidP="00075FAB">
      <w:pPr>
        <w:rPr>
          <w:rFonts w:ascii="Times New Roman" w:hAnsi="Times New Roman" w:cs="Times New Roman"/>
          <w:b/>
          <w:bCs/>
          <w:color w:val="000000" w:themeColor="text1"/>
        </w:rPr>
      </w:pPr>
    </w:p>
    <w:p w14:paraId="5B1C87B0" w14:textId="708E4A52" w:rsidR="006C2A13" w:rsidRPr="004B546E" w:rsidRDefault="006C2A13" w:rsidP="00075FAB">
      <w:pPr>
        <w:rPr>
          <w:rFonts w:ascii="Times New Roman" w:hAnsi="Times New Roman" w:cs="Times New Roman"/>
          <w:b/>
          <w:bCs/>
          <w:color w:val="000000" w:themeColor="text1"/>
        </w:rPr>
      </w:pPr>
    </w:p>
    <w:p w14:paraId="1DC60E66" w14:textId="77777777" w:rsidR="006C2A13" w:rsidRPr="004B546E" w:rsidRDefault="006C2A13" w:rsidP="00075FAB">
      <w:pPr>
        <w:rPr>
          <w:rFonts w:ascii="Times New Roman" w:hAnsi="Times New Roman" w:cs="Times New Roman"/>
          <w:b/>
          <w:bCs/>
          <w:color w:val="000000" w:themeColor="text1"/>
        </w:rPr>
      </w:pPr>
    </w:p>
    <w:p w14:paraId="02FC9321" w14:textId="7BF29198" w:rsidR="00E8378C" w:rsidRPr="004B546E" w:rsidRDefault="00E8378C"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Introduction</w:t>
      </w:r>
    </w:p>
    <w:p w14:paraId="2EA4FC35" w14:textId="122CDB08" w:rsidR="00E8378C" w:rsidRPr="004B546E" w:rsidRDefault="00E8378C"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Peripheral intravenous catheter (PIVC) insertion is the most commonly performed invasive procedure in hospitals worldwide, with an estimated one billion catheters placed annually across the globe [</w:t>
      </w:r>
      <w:r w:rsidR="00BC5E0F" w:rsidRPr="004B546E">
        <w:rPr>
          <w:rFonts w:ascii="Times New Roman" w:hAnsi="Times New Roman" w:cs="Times New Roman"/>
          <w:color w:val="000000" w:themeColor="text1"/>
        </w:rPr>
        <w:t>1</w:t>
      </w:r>
      <w:r w:rsidRPr="004B546E">
        <w:rPr>
          <w:rFonts w:ascii="Times New Roman" w:hAnsi="Times New Roman" w:cs="Times New Roman"/>
          <w:color w:val="000000" w:themeColor="text1"/>
        </w:rPr>
        <w:t>].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w:t>
      </w:r>
      <w:r w:rsidR="00BC5E0F" w:rsidRPr="004B546E">
        <w:rPr>
          <w:rFonts w:ascii="Times New Roman" w:hAnsi="Times New Roman" w:cs="Times New Roman"/>
          <w:color w:val="000000" w:themeColor="text1"/>
        </w:rPr>
        <w:t>2, 3</w:t>
      </w:r>
      <w:r w:rsidRPr="004B546E">
        <w:rPr>
          <w:rFonts w:ascii="Times New Roman" w:hAnsi="Times New Roman" w:cs="Times New Roman"/>
          <w:color w:val="000000" w:themeColor="text1"/>
        </w:rPr>
        <w:t>].</w:t>
      </w:r>
    </w:p>
    <w:p w14:paraId="0A6C3EF9" w14:textId="50E0C295" w:rsidR="00E8378C" w:rsidRPr="004B546E" w:rsidRDefault="00E8378C" w:rsidP="00E8378C">
      <w:pPr>
        <w:rPr>
          <w:rFonts w:ascii="Times New Roman" w:hAnsi="Times New Roman" w:cs="Times New Roman"/>
          <w:color w:val="000000" w:themeColor="text1"/>
        </w:rPr>
      </w:pPr>
      <w:r w:rsidRPr="004B546E">
        <w:rPr>
          <w:rFonts w:ascii="Times New Roman" w:hAnsi="Times New Roman" w:cs="Times New Roman"/>
          <w:color w:val="000000" w:themeColor="text1"/>
        </w:rPr>
        <w:t>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training curricula</w:t>
      </w:r>
      <w:r w:rsidR="00754B50" w:rsidRPr="004B546E">
        <w:rPr>
          <w:rFonts w:ascii="Times New Roman" w:hAnsi="Times New Roman" w:cs="Times New Roman"/>
          <w:color w:val="000000" w:themeColor="text1"/>
        </w:rPr>
        <w:t xml:space="preserve"> [</w:t>
      </w:r>
      <w:r w:rsidR="009E6D78" w:rsidRPr="004B546E">
        <w:rPr>
          <w:rFonts w:ascii="Times New Roman" w:hAnsi="Times New Roman" w:cs="Times New Roman"/>
          <w:color w:val="000000" w:themeColor="text1"/>
        </w:rPr>
        <w:t>4-6</w:t>
      </w:r>
      <w:r w:rsidR="00754B50"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However, successful insertion of a PIVC represents only the beginning of the device’s clinical lifecycle. Post-insertion outcomes</w:t>
      </w:r>
      <w:r w:rsidR="00603370"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including catheter dwell time, catheter failure, phlebitis, infiltration, extravasation, occlusion, dislodgement, and catheter-related infection</w:t>
      </w:r>
      <w:r w:rsidR="00754B50"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are arguably of equal or greater clinical importance, as they determine the functional utility of the catheter and the need for replacement procedures.</w:t>
      </w:r>
    </w:p>
    <w:p w14:paraId="75B88609" w14:textId="0909C137" w:rsidR="00E8378C" w:rsidRPr="004B546E" w:rsidRDefault="00E8378C"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Despite the clinical relevance of post-insertion outcomes, no prior systematic review has specifically synthesised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w:t>
      </w:r>
      <w:r w:rsidR="00950EF2" w:rsidRPr="004B546E">
        <w:rPr>
          <w:rFonts w:ascii="Times New Roman" w:hAnsi="Times New Roman" w:cs="Times New Roman"/>
          <w:color w:val="000000" w:themeColor="text1"/>
        </w:rPr>
        <w:t xml:space="preserve"> [</w:t>
      </w:r>
      <w:r w:rsidR="00D8073C" w:rsidRPr="004B546E">
        <w:rPr>
          <w:rFonts w:ascii="Times New Roman" w:hAnsi="Times New Roman" w:cs="Times New Roman"/>
          <w:color w:val="000000" w:themeColor="text1"/>
        </w:rPr>
        <w:t>7, 8</w:t>
      </w:r>
      <w:r w:rsidR="00950EF2"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w:t>
      </w:r>
    </w:p>
    <w:p w14:paraId="19C80F65" w14:textId="2A64CFDF" w:rsidR="00E8378C" w:rsidRPr="004B546E" w:rsidRDefault="00E8378C"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We hypothesised that USG insertion would not confer a significant advantage in post-insertion catheter performance compared with landmark placement.</w:t>
      </w:r>
    </w:p>
    <w:p w14:paraId="7887656A" w14:textId="7D4A97AE" w:rsidR="00117EFE" w:rsidRPr="004B546E" w:rsidRDefault="00117EFE" w:rsidP="00E8378C">
      <w:pPr>
        <w:rPr>
          <w:rFonts w:ascii="Times New Roman" w:hAnsi="Times New Roman" w:cs="Times New Roman"/>
          <w:color w:val="000000" w:themeColor="text1"/>
        </w:rPr>
      </w:pPr>
    </w:p>
    <w:p w14:paraId="01D9C8C7" w14:textId="00B7D602" w:rsidR="00117EFE" w:rsidRPr="004B546E" w:rsidRDefault="00117EFE" w:rsidP="00E8378C">
      <w:pPr>
        <w:rPr>
          <w:rFonts w:ascii="Times New Roman" w:hAnsi="Times New Roman" w:cs="Times New Roman"/>
          <w:color w:val="000000" w:themeColor="text1"/>
        </w:rPr>
      </w:pPr>
    </w:p>
    <w:p w14:paraId="2799BA3C" w14:textId="4F8A496B" w:rsidR="00B101E0" w:rsidRPr="004B546E" w:rsidRDefault="00B101E0" w:rsidP="00E8378C">
      <w:pPr>
        <w:rPr>
          <w:rFonts w:ascii="Times New Roman" w:hAnsi="Times New Roman" w:cs="Times New Roman"/>
          <w:color w:val="000000" w:themeColor="text1"/>
        </w:rPr>
      </w:pPr>
    </w:p>
    <w:p w14:paraId="072F6701" w14:textId="408F33FB" w:rsidR="00B101E0" w:rsidRPr="004B546E" w:rsidRDefault="00B101E0" w:rsidP="00E8378C">
      <w:pPr>
        <w:rPr>
          <w:rFonts w:ascii="Times New Roman" w:hAnsi="Times New Roman" w:cs="Times New Roman"/>
          <w:color w:val="000000" w:themeColor="text1"/>
        </w:rPr>
      </w:pPr>
    </w:p>
    <w:p w14:paraId="50C9FAE0" w14:textId="6FAA4348" w:rsidR="00B101E0" w:rsidRPr="004B546E" w:rsidRDefault="00B101E0" w:rsidP="00E8378C">
      <w:pPr>
        <w:rPr>
          <w:rFonts w:ascii="Times New Roman" w:hAnsi="Times New Roman" w:cs="Times New Roman"/>
          <w:color w:val="000000" w:themeColor="text1"/>
        </w:rPr>
      </w:pPr>
    </w:p>
    <w:p w14:paraId="71E40E2D" w14:textId="5500B946" w:rsidR="00B101E0" w:rsidRPr="004B546E" w:rsidRDefault="00B101E0" w:rsidP="00E8378C">
      <w:pPr>
        <w:rPr>
          <w:rFonts w:ascii="Times New Roman" w:hAnsi="Times New Roman" w:cs="Times New Roman"/>
          <w:color w:val="000000" w:themeColor="text1"/>
        </w:rPr>
      </w:pPr>
    </w:p>
    <w:p w14:paraId="17D0A60C" w14:textId="3A7ED840" w:rsidR="00B101E0" w:rsidRPr="004B546E" w:rsidRDefault="00B101E0" w:rsidP="00E8378C">
      <w:pPr>
        <w:rPr>
          <w:rFonts w:ascii="Times New Roman" w:hAnsi="Times New Roman" w:cs="Times New Roman"/>
          <w:color w:val="000000" w:themeColor="text1"/>
        </w:rPr>
      </w:pPr>
    </w:p>
    <w:p w14:paraId="2F3AEA70" w14:textId="0240A6B4" w:rsidR="00B101E0" w:rsidRPr="004B546E" w:rsidRDefault="00B101E0" w:rsidP="00E8378C">
      <w:pPr>
        <w:rPr>
          <w:rFonts w:ascii="Times New Roman" w:hAnsi="Times New Roman" w:cs="Times New Roman"/>
          <w:color w:val="000000" w:themeColor="text1"/>
        </w:rPr>
      </w:pPr>
    </w:p>
    <w:p w14:paraId="0547FCF8" w14:textId="35C064B4" w:rsidR="00B101E0" w:rsidRPr="004B546E" w:rsidRDefault="00B101E0" w:rsidP="00E8378C">
      <w:pPr>
        <w:rPr>
          <w:rFonts w:ascii="Times New Roman" w:hAnsi="Times New Roman" w:cs="Times New Roman"/>
          <w:color w:val="000000" w:themeColor="text1"/>
        </w:rPr>
      </w:pPr>
    </w:p>
    <w:p w14:paraId="30E4171D" w14:textId="395773E6" w:rsidR="00B101E0" w:rsidRPr="004B546E" w:rsidRDefault="00B101E0" w:rsidP="00E8378C">
      <w:pPr>
        <w:rPr>
          <w:rFonts w:ascii="Times New Roman" w:hAnsi="Times New Roman" w:cs="Times New Roman"/>
          <w:color w:val="000000" w:themeColor="text1"/>
        </w:rPr>
      </w:pPr>
    </w:p>
    <w:p w14:paraId="6B061984" w14:textId="640DCA6C" w:rsidR="00B101E0" w:rsidRPr="004B546E" w:rsidRDefault="00B101E0" w:rsidP="00E8378C">
      <w:pPr>
        <w:rPr>
          <w:rFonts w:ascii="Times New Roman" w:hAnsi="Times New Roman" w:cs="Times New Roman"/>
          <w:color w:val="000000" w:themeColor="text1"/>
        </w:rPr>
      </w:pPr>
    </w:p>
    <w:p w14:paraId="001B799D" w14:textId="3915307C" w:rsidR="00B101E0" w:rsidRPr="004B546E" w:rsidRDefault="00B101E0" w:rsidP="00E8378C">
      <w:pPr>
        <w:rPr>
          <w:rFonts w:ascii="Times New Roman" w:hAnsi="Times New Roman" w:cs="Times New Roman"/>
          <w:color w:val="000000" w:themeColor="text1"/>
        </w:rPr>
      </w:pPr>
    </w:p>
    <w:p w14:paraId="7CF1E494" w14:textId="66DB00B1" w:rsidR="00B101E0" w:rsidRPr="004B546E" w:rsidRDefault="00B101E0" w:rsidP="00E8378C">
      <w:pPr>
        <w:rPr>
          <w:rFonts w:ascii="Times New Roman" w:hAnsi="Times New Roman" w:cs="Times New Roman"/>
          <w:color w:val="000000" w:themeColor="text1"/>
        </w:rPr>
      </w:pPr>
    </w:p>
    <w:p w14:paraId="7AB67B1C" w14:textId="459DE831" w:rsidR="00B101E0" w:rsidRPr="004B546E" w:rsidRDefault="00B101E0" w:rsidP="00E8378C">
      <w:pPr>
        <w:rPr>
          <w:rFonts w:ascii="Times New Roman" w:hAnsi="Times New Roman" w:cs="Times New Roman"/>
          <w:color w:val="000000" w:themeColor="text1"/>
        </w:rPr>
      </w:pPr>
    </w:p>
    <w:p w14:paraId="55E185ED" w14:textId="77777777" w:rsidR="00B101E0" w:rsidRPr="004B546E" w:rsidRDefault="00B101E0" w:rsidP="00E8378C">
      <w:pPr>
        <w:rPr>
          <w:rFonts w:ascii="Times New Roman" w:hAnsi="Times New Roman" w:cs="Times New Roman"/>
          <w:color w:val="000000" w:themeColor="text1"/>
        </w:rPr>
      </w:pPr>
    </w:p>
    <w:p w14:paraId="3C0C86BE" w14:textId="48CD5B6E" w:rsidR="00117EFE" w:rsidRPr="004B546E" w:rsidRDefault="00117EFE"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Methods</w:t>
      </w:r>
    </w:p>
    <w:p w14:paraId="0EA37007" w14:textId="7D2C4297" w:rsidR="00117EFE" w:rsidRPr="004B546E" w:rsidRDefault="00907A12"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Search Strategy</w:t>
      </w:r>
    </w:p>
    <w:p w14:paraId="57DE51D3" w14:textId="393AE697" w:rsidR="00907A12" w:rsidRPr="004B546E" w:rsidRDefault="007141BF"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This systematic review and meta-analysis was conducted in accordance with the Preferred Reporting Items for Systematic Reviews and Meta-Analyses (PRISMA) 2020 guidelines and was prospectively registered in PROSPERO (CRD420261354170)</w:t>
      </w:r>
      <w:r w:rsidR="00EB0A7A" w:rsidRPr="004B546E">
        <w:rPr>
          <w:rFonts w:ascii="Times New Roman" w:hAnsi="Times New Roman" w:cs="Times New Roman"/>
          <w:color w:val="000000" w:themeColor="text1"/>
        </w:rPr>
        <w:t xml:space="preserve"> (see Supplementary Material S1)</w:t>
      </w:r>
      <w:r w:rsidRPr="004B546E">
        <w:rPr>
          <w:rFonts w:ascii="Times New Roman" w:hAnsi="Times New Roman" w:cs="Times New Roman"/>
          <w:color w:val="000000" w:themeColor="text1"/>
        </w:rPr>
        <w:t xml:space="preserve">. </w:t>
      </w:r>
      <w:r w:rsidR="00907A12" w:rsidRPr="004B546E">
        <w:rPr>
          <w:rFonts w:ascii="Times New Roman" w:hAnsi="Times New Roman" w:cs="Times New Roman"/>
          <w:color w:val="000000" w:themeColor="text1"/>
        </w:rPr>
        <w:t>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catheterisation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w:t>
      </w:r>
      <w:r w:rsidR="004825BB" w:rsidRPr="004B546E">
        <w:rPr>
          <w:rFonts w:ascii="Times New Roman" w:hAnsi="Times New Roman" w:cs="Times New Roman"/>
          <w:color w:val="000000" w:themeColor="text1"/>
        </w:rPr>
        <w:t xml:space="preserve"> (see Supplementary Material S</w:t>
      </w:r>
      <w:r w:rsidR="00EB0A7A" w:rsidRPr="004B546E">
        <w:rPr>
          <w:rFonts w:ascii="Times New Roman" w:hAnsi="Times New Roman" w:cs="Times New Roman"/>
          <w:color w:val="000000" w:themeColor="text1"/>
        </w:rPr>
        <w:t>2</w:t>
      </w:r>
      <w:r w:rsidR="004825BB" w:rsidRPr="004B546E">
        <w:rPr>
          <w:rFonts w:ascii="Times New Roman" w:hAnsi="Times New Roman" w:cs="Times New Roman"/>
          <w:color w:val="000000" w:themeColor="text1"/>
        </w:rPr>
        <w:t>)</w:t>
      </w:r>
      <w:r w:rsidR="00907A12" w:rsidRPr="004B546E">
        <w:rPr>
          <w:rFonts w:ascii="Times New Roman" w:hAnsi="Times New Roman" w:cs="Times New Roman"/>
          <w:color w:val="000000" w:themeColor="text1"/>
        </w:rPr>
        <w:t>.</w:t>
      </w:r>
    </w:p>
    <w:p w14:paraId="2193998C" w14:textId="180A144A" w:rsidR="007141BF" w:rsidRPr="004B546E" w:rsidRDefault="007141BF"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Study Selection</w:t>
      </w:r>
    </w:p>
    <w:p w14:paraId="367B36BA" w14:textId="3F363A81" w:rsidR="007141BF" w:rsidRPr="004B546E" w:rsidRDefault="007141BF"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After removal of 273 duplicates, 1,359 unique records underwent title and abstract screening by two reviewers 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14:paraId="152FA4C7" w14:textId="6A0F4525" w:rsidR="007141BF" w:rsidRPr="004B546E" w:rsidRDefault="007141BF" w:rsidP="007141BF">
      <w:pPr>
        <w:rPr>
          <w:rFonts w:ascii="Times New Roman" w:hAnsi="Times New Roman" w:cs="Times New Roman"/>
          <w:color w:val="000000" w:themeColor="text1"/>
        </w:rPr>
      </w:pPr>
      <w:r w:rsidRPr="004B546E">
        <w:rPr>
          <w:rFonts w:ascii="Times New Roman" w:hAnsi="Times New Roman" w:cs="Times New Roman"/>
          <w:color w:val="000000" w:themeColor="text1"/>
        </w:rPr>
        <w:t xml:space="preserve">All 19 records advancing to full-text consideration were retrieved and screened. After full-text review and consensus discussion, 14 studies met all inclusion criteria and were included in the final analysis. Five reports were excluded at the full-text stage: (1) Malik et al. </w:t>
      </w:r>
      <w:r w:rsidR="00415D73"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single-arm study without a comparator group</w:t>
      </w:r>
      <w:r w:rsidR="00203DF2" w:rsidRPr="004B546E">
        <w:rPr>
          <w:rFonts w:ascii="Times New Roman" w:hAnsi="Times New Roman" w:cs="Times New Roman" w:hint="eastAsia"/>
          <w:color w:val="000000" w:themeColor="text1"/>
        </w:rPr>
        <w:t xml:space="preserve"> [</w:t>
      </w:r>
      <w:r w:rsidR="00D8073C" w:rsidRPr="004B546E">
        <w:rPr>
          <w:rFonts w:ascii="Times New Roman" w:hAnsi="Times New Roman" w:cs="Times New Roman"/>
          <w:color w:val="000000" w:themeColor="text1"/>
        </w:rPr>
        <w:t>9</w:t>
      </w:r>
      <w:r w:rsidR="00203DF2"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(2–3) two Avelar et al. reports</w:t>
      </w:r>
      <w:r w:rsidR="0013773F"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Portuguese-language full text not available with reliable translation</w:t>
      </w:r>
      <w:r w:rsidR="00CD4B9F" w:rsidRPr="004B546E">
        <w:rPr>
          <w:rFonts w:ascii="Times New Roman" w:hAnsi="Times New Roman" w:cs="Times New Roman" w:hint="eastAsia"/>
          <w:color w:val="000000" w:themeColor="text1"/>
        </w:rPr>
        <w:t xml:space="preserve"> [</w:t>
      </w:r>
      <w:r w:rsidR="00D8073C" w:rsidRPr="004B546E">
        <w:rPr>
          <w:rFonts w:ascii="Times New Roman" w:hAnsi="Times New Roman" w:cs="Times New Roman"/>
          <w:color w:val="000000" w:themeColor="text1"/>
        </w:rPr>
        <w:t>5, 10</w:t>
      </w:r>
      <w:r w:rsidR="00CD4B9F"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(4) one oncology</w:t>
      </w:r>
      <w:r w:rsidR="0013773F"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nurses report</w:t>
      </w:r>
      <w:r w:rsidR="0013773F"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unpublished at time of search; (5) Kleidon et al. (J Vasc Access, 2022)</w:t>
      </w:r>
      <w:r w:rsidR="00EC4628" w:rsidRPr="004B546E">
        <w:rPr>
          <w:rFonts w:ascii="Times New Roman" w:hAnsi="Times New Roman" w:cs="Times New Roman" w:hint="eastAsia"/>
          <w:color w:val="000000" w:themeColor="text1"/>
        </w:rPr>
        <w:t xml:space="preserve"> [</w:t>
      </w:r>
      <w:r w:rsidR="00D8073C" w:rsidRPr="004B546E">
        <w:rPr>
          <w:rFonts w:ascii="Times New Roman" w:hAnsi="Times New Roman" w:cs="Times New Roman"/>
          <w:color w:val="000000" w:themeColor="text1"/>
        </w:rPr>
        <w:t>11</w:t>
      </w:r>
      <w:r w:rsidR="00EC4628" w:rsidRPr="004B546E">
        <w:rPr>
          <w:rFonts w:ascii="Times New Roman" w:hAnsi="Times New Roman" w:cs="Times New Roman" w:hint="eastAsia"/>
          <w:color w:val="000000" w:themeColor="text1"/>
        </w:rPr>
        <w:t>]</w:t>
      </w:r>
      <w:r w:rsidR="0013773F"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duplicate report of the primary EPIC trial publication (Kleidon et al., JAMA Pediatrics, 2025)</w:t>
      </w:r>
      <w:r w:rsidR="009E520C" w:rsidRPr="004B546E">
        <w:rPr>
          <w:rFonts w:ascii="Times New Roman" w:hAnsi="Times New Roman" w:cs="Times New Roman" w:hint="eastAsia"/>
          <w:color w:val="000000" w:themeColor="text1"/>
        </w:rPr>
        <w:t xml:space="preserve"> [</w:t>
      </w:r>
      <w:r w:rsidR="00D8073C" w:rsidRPr="004B546E">
        <w:rPr>
          <w:rFonts w:ascii="Times New Roman" w:hAnsi="Times New Roman" w:cs="Times New Roman"/>
          <w:color w:val="000000" w:themeColor="text1"/>
        </w:rPr>
        <w:t>12</w:t>
      </w:r>
      <w:r w:rsidR="009E520C"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and Kleidon et al. (BJN, 2023)</w:t>
      </w:r>
      <w:r w:rsidR="0089038D" w:rsidRPr="004B546E">
        <w:rPr>
          <w:rFonts w:ascii="Times New Roman" w:hAnsi="Times New Roman" w:cs="Times New Roman" w:hint="eastAsia"/>
          <w:color w:val="000000" w:themeColor="text1"/>
        </w:rPr>
        <w:t xml:space="preserve"> [</w:t>
      </w:r>
      <w:r w:rsidR="00D8073C" w:rsidRPr="004B546E">
        <w:rPr>
          <w:rFonts w:ascii="Times New Roman" w:hAnsi="Times New Roman" w:cs="Times New Roman"/>
          <w:color w:val="000000" w:themeColor="text1"/>
        </w:rPr>
        <w:t>13</w:t>
      </w:r>
      <w:r w:rsidR="0089038D" w:rsidRPr="004B546E">
        <w:rPr>
          <w:rFonts w:ascii="Times New Roman" w:hAnsi="Times New Roman" w:cs="Times New Roman" w:hint="eastAsia"/>
          <w:color w:val="000000" w:themeColor="text1"/>
        </w:rPr>
        <w:t>]</w:t>
      </w:r>
      <w:r w:rsidR="001116A8"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trial-protocol-only publication of the same EPIC trial without post-insertion outcome data, both of which were excluded as overlapping reports of the single included EPIC primary publication. Two studies (Desai et al., 2018</w:t>
      </w:r>
      <w:r w:rsidR="00425EBD" w:rsidRPr="004B546E">
        <w:rPr>
          <w:rFonts w:ascii="Times New Roman" w:hAnsi="Times New Roman" w:cs="Times New Roman" w:hint="eastAsia"/>
          <w:color w:val="000000" w:themeColor="text1"/>
        </w:rPr>
        <w:t xml:space="preserve"> [</w:t>
      </w:r>
      <w:r w:rsidR="00B42B61" w:rsidRPr="004B546E">
        <w:rPr>
          <w:rFonts w:ascii="Times New Roman" w:hAnsi="Times New Roman" w:cs="Times New Roman"/>
          <w:color w:val="000000" w:themeColor="text1"/>
        </w:rPr>
        <w:t>14</w:t>
      </w:r>
      <w:r w:rsidR="00425EBD"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Nishizawa et al., 2020</w:t>
      </w:r>
      <w:r w:rsidR="00425EBD" w:rsidRPr="004B546E">
        <w:rPr>
          <w:rFonts w:ascii="Times New Roman" w:hAnsi="Times New Roman" w:cs="Times New Roman" w:hint="eastAsia"/>
          <w:color w:val="000000" w:themeColor="text1"/>
        </w:rPr>
        <w:t xml:space="preserve"> [</w:t>
      </w:r>
      <w:r w:rsidR="00E64E27" w:rsidRPr="004B546E">
        <w:rPr>
          <w:rFonts w:ascii="Times New Roman" w:hAnsi="Times New Roman" w:cs="Times New Roman"/>
          <w:color w:val="000000" w:themeColor="text1"/>
        </w:rPr>
        <w:t>15</w:t>
      </w:r>
      <w:r w:rsidR="00425EBD"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were not available through initial institutional access but were subsequently retrieved via interlibrary loan and included in the final analysis (see Supplementary Material S</w:t>
      </w:r>
      <w:r w:rsidR="00EB0A7A" w:rsidRPr="004B546E">
        <w:rPr>
          <w:rFonts w:ascii="Times New Roman" w:hAnsi="Times New Roman" w:cs="Times New Roman"/>
          <w:color w:val="000000" w:themeColor="text1"/>
        </w:rPr>
        <w:t>3</w:t>
      </w:r>
      <w:r w:rsidRPr="004B546E">
        <w:rPr>
          <w:rFonts w:ascii="Times New Roman" w:hAnsi="Times New Roman" w:cs="Times New Roman"/>
          <w:color w:val="000000" w:themeColor="text1"/>
        </w:rPr>
        <w:t>).</w:t>
      </w:r>
    </w:p>
    <w:p w14:paraId="301E2360" w14:textId="5536A1E8" w:rsidR="005C4A1E" w:rsidRPr="004B546E" w:rsidRDefault="005C4A1E"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Eligibility Criteria</w:t>
      </w:r>
    </w:p>
    <w:p w14:paraId="0F3FE076" w14:textId="77777777" w:rsidR="005C4A1E" w:rsidRPr="004B546E" w:rsidRDefault="005C4A1E"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randomised controlled trial (RCT) or comparative cohort design; (4) enrolled human participants; and (5) were published in English between 2000 and 2026.</w:t>
      </w:r>
    </w:p>
    <w:p w14:paraId="2092C664" w14:textId="09267778" w:rsidR="005C4A1E" w:rsidRPr="004B546E" w:rsidRDefault="005C4A1E"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Data Extraction</w:t>
      </w:r>
    </w:p>
    <w:p w14:paraId="39D1B4A8" w14:textId="77777777" w:rsidR="005C4A1E" w:rsidRPr="004B546E" w:rsidRDefault="005C4A1E"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Data were extracted independently by two reviewers using a standardised form. Extracted variables included: study design, country, setting, sample size by group, participant age and population characteristics (adult vs. paediatric),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14:paraId="3D0C7210" w14:textId="2941A557" w:rsidR="005C4A1E" w:rsidRPr="004B546E" w:rsidRDefault="005C4A1E"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Risk of Bias Assessment</w:t>
      </w:r>
    </w:p>
    <w:p w14:paraId="2180B245" w14:textId="2139B5C1" w:rsidR="005C4A1E" w:rsidRPr="004B546E" w:rsidRDefault="005C4A1E"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 xml:space="preserve">Risk of bias for RCTs was assessed using the Cochrane Risk of Bias 2 (RoB 2) tool </w:t>
      </w:r>
      <w:r w:rsidR="00B421D7" w:rsidRPr="004B546E">
        <w:rPr>
          <w:rFonts w:ascii="Times New Roman" w:hAnsi="Times New Roman" w:cs="Times New Roman"/>
          <w:b/>
          <w:bCs/>
          <w:color w:val="000000" w:themeColor="text1"/>
        </w:rPr>
        <w:t xml:space="preserve">(Figure </w:t>
      </w:r>
      <w:r w:rsidR="00C047E0" w:rsidRPr="004B546E">
        <w:rPr>
          <w:rFonts w:ascii="Times New Roman" w:hAnsi="Times New Roman" w:cs="Times New Roman"/>
          <w:b/>
          <w:bCs/>
          <w:color w:val="000000" w:themeColor="text1"/>
        </w:rPr>
        <w:t>1</w:t>
      </w:r>
      <w:r w:rsidR="00B421D7" w:rsidRPr="004B546E">
        <w:rPr>
          <w:rFonts w:ascii="Times New Roman" w:hAnsi="Times New Roman" w:cs="Times New Roman"/>
          <w:b/>
          <w:bCs/>
          <w:color w:val="000000" w:themeColor="text1"/>
        </w:rPr>
        <w:t xml:space="preserve">A) </w:t>
      </w:r>
      <w:r w:rsidRPr="004B546E">
        <w:rPr>
          <w:rFonts w:ascii="Times New Roman" w:hAnsi="Times New Roman" w:cs="Times New Roman"/>
          <w:color w:val="000000" w:themeColor="text1"/>
        </w:rPr>
        <w:t>across five domains: randomisation process, deviations from intended interventions, missing outcome data, measurement of the outcome, and selection of the reported result. Each RCT was classified as low risk, some concerns, or high risk of bias. Observational studies were evaluated using the Newcastle-Ottawa Scale (NOS)</w:t>
      </w:r>
      <w:r w:rsidR="00B421D7" w:rsidRPr="004B546E">
        <w:rPr>
          <w:rFonts w:ascii="Times New Roman" w:hAnsi="Times New Roman" w:cs="Times New Roman"/>
          <w:b/>
          <w:bCs/>
          <w:color w:val="000000" w:themeColor="text1"/>
        </w:rPr>
        <w:t xml:space="preserve"> (Figure </w:t>
      </w:r>
      <w:r w:rsidR="00C047E0" w:rsidRPr="004B546E">
        <w:rPr>
          <w:rFonts w:ascii="Times New Roman" w:hAnsi="Times New Roman" w:cs="Times New Roman"/>
          <w:b/>
          <w:bCs/>
          <w:color w:val="000000" w:themeColor="text1"/>
        </w:rPr>
        <w:t>1</w:t>
      </w:r>
      <w:r w:rsidR="00B421D7" w:rsidRPr="004B546E">
        <w:rPr>
          <w:rFonts w:ascii="Times New Roman" w:hAnsi="Times New Roman" w:cs="Times New Roman"/>
          <w:b/>
          <w:bCs/>
          <w:color w:val="000000" w:themeColor="text1"/>
        </w:rPr>
        <w:t>B)</w:t>
      </w:r>
      <w:r w:rsidRPr="004B546E">
        <w:rPr>
          <w:rFonts w:ascii="Times New Roman" w:hAnsi="Times New Roman" w:cs="Times New Roman"/>
          <w:color w:val="000000" w:themeColor="text1"/>
        </w:rPr>
        <w:t>, with scores ranging from 0 to 9 stars across three domains: selection, comparability, and outcome</w:t>
      </w:r>
      <w:r w:rsidR="00B421D7" w:rsidRPr="004B546E">
        <w:rPr>
          <w:rFonts w:ascii="Times New Roman" w:hAnsi="Times New Roman" w:cs="Times New Roman"/>
          <w:color w:val="000000" w:themeColor="text1"/>
        </w:rPr>
        <w:t xml:space="preserve"> </w:t>
      </w:r>
      <w:r w:rsidR="00B421D7" w:rsidRPr="004B546E">
        <w:rPr>
          <w:rFonts w:ascii="Times New Roman" w:hAnsi="Times New Roman" w:cs="Times New Roman"/>
          <w:b/>
          <w:bCs/>
          <w:color w:val="000000" w:themeColor="text1"/>
        </w:rPr>
        <w:t xml:space="preserve">(Figure </w:t>
      </w:r>
      <w:r w:rsidR="00C047E0" w:rsidRPr="004B546E">
        <w:rPr>
          <w:rFonts w:ascii="Times New Roman" w:hAnsi="Times New Roman" w:cs="Times New Roman"/>
          <w:b/>
          <w:bCs/>
          <w:color w:val="000000" w:themeColor="text1"/>
        </w:rPr>
        <w:t>1</w:t>
      </w:r>
      <w:r w:rsidR="00B421D7" w:rsidRPr="004B546E">
        <w:rPr>
          <w:rFonts w:ascii="Times New Roman" w:hAnsi="Times New Roman" w:cs="Times New Roman"/>
          <w:b/>
          <w:bCs/>
          <w:color w:val="000000" w:themeColor="text1"/>
        </w:rPr>
        <w:t>C)</w:t>
      </w:r>
      <w:r w:rsidRPr="004B546E">
        <w:rPr>
          <w:rFonts w:ascii="Times New Roman" w:hAnsi="Times New Roman" w:cs="Times New Roman"/>
          <w:color w:val="000000" w:themeColor="text1"/>
        </w:rPr>
        <w:t>.</w:t>
      </w:r>
    </w:p>
    <w:p w14:paraId="6143CE77" w14:textId="36896079" w:rsidR="005C4A1E" w:rsidRPr="004B546E" w:rsidRDefault="005C4A1E"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Statistical Analysis</w:t>
      </w:r>
    </w:p>
    <w:p w14:paraId="01549D6D" w14:textId="1C920DFD" w:rsidR="005C4A1E" w:rsidRPr="004B546E" w:rsidRDefault="005C4A1E"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Random-effects meta-analyses were conducted using the DerSimonian-Laird</w:t>
      </w:r>
      <w:r w:rsidR="00EF7C10" w:rsidRPr="004B546E">
        <w:rPr>
          <w:rFonts w:ascii="Times New Roman" w:hAnsi="Times New Roman" w:cs="Times New Roman"/>
          <w:color w:val="000000" w:themeColor="text1"/>
        </w:rPr>
        <w:t xml:space="preserve"> (DL)</w:t>
      </w:r>
      <w:r w:rsidRPr="004B546E">
        <w:rPr>
          <w:rFonts w:ascii="Times New Roman" w:hAnsi="Times New Roman" w:cs="Times New Roman"/>
          <w:color w:val="000000" w:themeColor="text1"/>
        </w:rPr>
        <w:t xml:space="preserve">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I</w:t>
      </w:r>
      <w:r w:rsidRPr="004B546E">
        <w:rPr>
          <w:rFonts w:ascii="Times New Roman" w:hAnsi="Times New Roman" w:cs="Times New Roman"/>
          <w:color w:val="000000" w:themeColor="text1"/>
          <w:vertAlign w:val="superscript"/>
        </w:rPr>
        <w:t>2</w:t>
      </w:r>
      <w:r w:rsidRPr="004B546E">
        <w:rPr>
          <w:rFonts w:ascii="Times New Roman" w:hAnsi="Times New Roman" w:cs="Times New Roman"/>
          <w:color w:val="000000" w:themeColor="text1"/>
        </w:rPr>
        <w:t xml:space="preserve"> statistic, with values of 25%, 50%, and 75% representing low, moderate, and high heterogeneity, respectively. Outcomes with I2 exceeding 75% were not pooled and were described narratively.</w:t>
      </w:r>
    </w:p>
    <w:p w14:paraId="26280B2F" w14:textId="77777777" w:rsidR="005C4A1E" w:rsidRPr="004B546E" w:rsidRDefault="005C4A1E"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Prespecified subgroup analyses were conducted by age group (adult vs. paediatric)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14:paraId="6941C079" w14:textId="77777777" w:rsidR="005C4A1E" w:rsidRPr="004B546E" w:rsidRDefault="005C4A1E"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All analyses were performed using R (version 4.x) with the meta and metafor packages. A two-sided p-value &lt; 0.05 was considered statistically significant.</w:t>
      </w:r>
    </w:p>
    <w:p w14:paraId="1C0FE13A" w14:textId="4792FC65" w:rsidR="00491784" w:rsidRPr="004B546E" w:rsidRDefault="005C4A1E" w:rsidP="005C4A1E">
      <w:pPr>
        <w:rPr>
          <w:rFonts w:ascii="Times New Roman" w:hAnsi="Times New Roman" w:cs="Times New Roman"/>
          <w:color w:val="000000" w:themeColor="text1"/>
        </w:rPr>
      </w:pPr>
      <w:r w:rsidRPr="004B546E">
        <w:rPr>
          <w:rFonts w:ascii="Times New Roman" w:hAnsi="Times New Roman" w:cs="Times New Roman"/>
          <w:color w:val="000000" w:themeColor="text1"/>
        </w:rPr>
        <w:t>The DerSimonian-Laird</w:t>
      </w:r>
      <w:r w:rsidR="00EF7C10" w:rsidRPr="004B546E">
        <w:rPr>
          <w:rFonts w:ascii="Times New Roman" w:hAnsi="Times New Roman" w:cs="Times New Roman"/>
          <w:color w:val="000000" w:themeColor="text1"/>
        </w:rPr>
        <w:t xml:space="preserve"> (DL) </w:t>
      </w:r>
      <w:r w:rsidRPr="004B546E">
        <w:rPr>
          <w:rFonts w:ascii="Times New Roman" w:hAnsi="Times New Roman" w:cs="Times New Roman"/>
          <w:color w:val="000000" w:themeColor="text1"/>
        </w:rPr>
        <w:t>stimator was the pre-specified primary approach in our PROSPERO protocol, reflecting standard practice in systematic reviews at the time of registration. After the initial analytic run, we recognised that with only 2–4 studies contributing to each outcome, DL standard errors are known to be anti-conservative and the resulting confidence intervals can be narrower than warranted.15 We therefore 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w:t>
      </w:r>
      <w:r w:rsidR="001927D4"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xml:space="preserve"> p = 0.056 vs HKSJ</w:t>
      </w:r>
      <w:r w:rsidR="001927D4"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p = 0.047), interpretation should not hinge on either side of that threshold and the overall pattern of evidence should drive clinical inference rather than a single estimator’s significance.</w:t>
      </w:r>
    </w:p>
    <w:p w14:paraId="16A49F0A" w14:textId="6CCF52D0" w:rsidR="00F609EB" w:rsidRPr="004B546E" w:rsidRDefault="00F609EB"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Results</w:t>
      </w:r>
    </w:p>
    <w:p w14:paraId="0FD4A0DD" w14:textId="1B6FD0BE" w:rsidR="00B12487" w:rsidRPr="004B546E" w:rsidRDefault="00B12487"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Study Characteristics</w:t>
      </w:r>
    </w:p>
    <w:p w14:paraId="3EF5D29D" w14:textId="7F53E815" w:rsidR="00B12487" w:rsidRPr="004B546E" w:rsidRDefault="00B12487"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5 were excluded at the full-text stage (1 single-arm comparator absent, 2 Portuguese language, 1 unpublished, 1 duplicate/protocol report of the same EPIC trial), and 14 studies met all inclusion criteria and were included in the qualitative synthesis. Of these, subsets contributed to individual meta-analyses depending on outcome reporting and eligibility for pooling (</w:t>
      </w:r>
      <w:r w:rsidRPr="004B546E">
        <w:rPr>
          <w:rFonts w:ascii="Times New Roman" w:hAnsi="Times New Roman" w:cs="Times New Roman"/>
          <w:b/>
          <w:bCs/>
          <w:color w:val="000000" w:themeColor="text1"/>
        </w:rPr>
        <w:t xml:space="preserve">Figure </w:t>
      </w:r>
      <w:r w:rsidR="00746EA6" w:rsidRPr="004B546E">
        <w:rPr>
          <w:rFonts w:ascii="Times New Roman" w:hAnsi="Times New Roman" w:cs="Times New Roman"/>
          <w:b/>
          <w:bCs/>
          <w:color w:val="000000" w:themeColor="text1"/>
        </w:rPr>
        <w:t>2</w:t>
      </w:r>
      <w:r w:rsidR="0013773F" w:rsidRPr="004B546E">
        <w:rPr>
          <w:rFonts w:ascii="Times New Roman" w:hAnsi="Times New Roman" w:cs="Times New Roman"/>
          <w:b/>
          <w:bCs/>
          <w:color w:val="000000" w:themeColor="text1"/>
        </w:rPr>
        <w:t>;</w:t>
      </w:r>
      <w:r w:rsidRPr="004B546E">
        <w:rPr>
          <w:rFonts w:ascii="Times New Roman" w:hAnsi="Times New Roman" w:cs="Times New Roman"/>
          <w:color w:val="000000" w:themeColor="text1"/>
        </w:rPr>
        <w:t xml:space="preserve"> PRISMA flow diagram).</w:t>
      </w:r>
    </w:p>
    <w:p w14:paraId="75B4306D" w14:textId="1BAF7393" w:rsidR="00B12487" w:rsidRPr="004B546E" w:rsidRDefault="00B12487" w:rsidP="00B12487">
      <w:pPr>
        <w:rPr>
          <w:rFonts w:ascii="Times New Roman" w:hAnsi="Times New Roman" w:cs="Times New Roman"/>
          <w:color w:val="000000" w:themeColor="text1"/>
        </w:rPr>
      </w:pPr>
      <w:r w:rsidRPr="004B546E">
        <w:rPr>
          <w:rFonts w:ascii="Times New Roman" w:hAnsi="Times New Roman" w:cs="Times New Roman"/>
          <w:color w:val="000000" w:themeColor="text1"/>
        </w:rPr>
        <w:t>The 14 included studies comprised 5 RCTs and 9 cohort studies, enrolling a total of 78,209 participants (</w:t>
      </w:r>
      <w:r w:rsidRPr="004B546E">
        <w:rPr>
          <w:rFonts w:ascii="Times New Roman" w:hAnsi="Times New Roman" w:cs="Times New Roman"/>
          <w:b/>
          <w:bCs/>
          <w:color w:val="000000" w:themeColor="text1"/>
        </w:rPr>
        <w:t>Table 1</w:t>
      </w:r>
      <w:r w:rsidRPr="004B546E">
        <w:rPr>
          <w:rFonts w:ascii="Times New Roman" w:hAnsi="Times New Roman" w:cs="Times New Roman"/>
          <w:color w:val="000000" w:themeColor="text1"/>
        </w:rPr>
        <w:t>). Studies were conducted in Australia (n = 1), France (n = 1), India (n = 1), Italy (n = 2), Japan (n = 1), and the United States (n = 8). Seven studies enrolled adult participants and seven enrolled paediatric patients. Settings included the emergency department (n = 8), intensive care unit (n = 3), inpatient hospital setting (n = 2), and a quaternary children’s hospital (n = 1)</w:t>
      </w:r>
      <w:r w:rsidR="00A62108" w:rsidRPr="004B546E">
        <w:rPr>
          <w:rFonts w:ascii="Times New Roman" w:hAnsi="Times New Roman" w:cs="Times New Roman"/>
          <w:color w:val="000000" w:themeColor="text1"/>
        </w:rPr>
        <w:t xml:space="preserve"> (</w:t>
      </w:r>
      <w:r w:rsidR="00A62108" w:rsidRPr="004B546E">
        <w:rPr>
          <w:rFonts w:ascii="Times New Roman" w:hAnsi="Times New Roman" w:cs="Times New Roman"/>
          <w:b/>
          <w:bCs/>
          <w:color w:val="000000" w:themeColor="text1"/>
        </w:rPr>
        <w:t>Table 1</w:t>
      </w:r>
      <w:r w:rsidR="00A62108"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Six studies specifically enrolled DIVA populations, while the remainder included patients of mixed or all difficulty levels</w:t>
      </w:r>
      <w:r w:rsidR="00443868" w:rsidRPr="004B546E">
        <w:rPr>
          <w:rFonts w:ascii="Times New Roman" w:hAnsi="Times New Roman" w:cs="Times New Roman" w:hint="eastAsia"/>
          <w:color w:val="000000" w:themeColor="text1"/>
        </w:rPr>
        <w:t xml:space="preserve"> </w:t>
      </w:r>
      <w:r w:rsidR="00A62108" w:rsidRPr="004B546E">
        <w:rPr>
          <w:rFonts w:ascii="Times New Roman" w:hAnsi="Times New Roman" w:cs="Times New Roman"/>
          <w:color w:val="000000" w:themeColor="text1"/>
        </w:rPr>
        <w:t>(</w:t>
      </w:r>
      <w:r w:rsidR="00A62108" w:rsidRPr="004B546E">
        <w:rPr>
          <w:rFonts w:ascii="Times New Roman" w:hAnsi="Times New Roman" w:cs="Times New Roman"/>
          <w:b/>
          <w:bCs/>
          <w:color w:val="000000" w:themeColor="text1"/>
        </w:rPr>
        <w:t>Table 1</w:t>
      </w:r>
      <w:r w:rsidR="00A62108"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w:t>
      </w:r>
    </w:p>
    <w:p w14:paraId="0E2ABFF4" w14:textId="7B941170" w:rsidR="00B12487" w:rsidRPr="004B546E" w:rsidRDefault="00B12487"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 xml:space="preserve">Full study characteristics are detailed in </w:t>
      </w:r>
      <w:r w:rsidRPr="004B546E">
        <w:rPr>
          <w:rFonts w:ascii="Times New Roman" w:hAnsi="Times New Roman" w:cs="Times New Roman"/>
          <w:b/>
          <w:bCs/>
          <w:color w:val="000000" w:themeColor="text1"/>
        </w:rPr>
        <w:t>Table 1</w:t>
      </w:r>
      <w:r w:rsidRPr="004B546E">
        <w:rPr>
          <w:rFonts w:ascii="Times New Roman" w:hAnsi="Times New Roman" w:cs="Times New Roman"/>
          <w:color w:val="000000" w:themeColor="text1"/>
        </w:rPr>
        <w:t>. Key features are summarised below.</w:t>
      </w:r>
      <w:r w:rsidR="00B101E0" w:rsidRPr="004B546E">
        <w:rPr>
          <w:rFonts w:ascii="Times New Roman" w:hAnsi="Times New Roman" w:cs="Times New Roman" w:hint="eastAsia"/>
          <w:color w:val="000000" w:themeColor="text1"/>
        </w:rPr>
        <w:t xml:space="preserve"> </w:t>
      </w:r>
      <w:r w:rsidRPr="004B546E">
        <w:rPr>
          <w:rFonts w:ascii="Times New Roman" w:hAnsi="Times New Roman" w:cs="Times New Roman"/>
          <w:color w:val="000000" w:themeColor="text1"/>
        </w:rPr>
        <w:t>Among the five RCTs, Kleidon et al. (2025) conducted the EPIC trial in 164 paediatric patients (Australia)</w:t>
      </w:r>
      <w:r w:rsidR="004D4BBA" w:rsidRPr="004B546E">
        <w:rPr>
          <w:rFonts w:ascii="Times New Roman" w:hAnsi="Times New Roman" w:cs="Times New Roman" w:hint="eastAsia"/>
          <w:color w:val="000000" w:themeColor="text1"/>
        </w:rPr>
        <w:t xml:space="preserve"> [</w:t>
      </w:r>
      <w:r w:rsidR="00E64E27" w:rsidRPr="004B546E">
        <w:rPr>
          <w:rFonts w:ascii="Times New Roman" w:hAnsi="Times New Roman" w:cs="Times New Roman"/>
          <w:color w:val="000000" w:themeColor="text1"/>
        </w:rPr>
        <w:t>12</w:t>
      </w:r>
      <w:r w:rsidR="004D4BBA"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Bridey et al. (2018) randomised 114 adult ICU DIVA patients (France)</w:t>
      </w:r>
      <w:r w:rsidR="00596474" w:rsidRPr="004B546E">
        <w:rPr>
          <w:rFonts w:ascii="Times New Roman" w:hAnsi="Times New Roman" w:cs="Times New Roman"/>
          <w:color w:val="000000" w:themeColor="text1"/>
        </w:rPr>
        <w:t xml:space="preserve"> </w:t>
      </w:r>
      <w:r w:rsidR="00596474" w:rsidRPr="004B546E">
        <w:rPr>
          <w:rFonts w:ascii="Times New Roman" w:hAnsi="Times New Roman" w:cs="Times New Roman" w:hint="eastAsia"/>
          <w:color w:val="000000" w:themeColor="text1"/>
        </w:rPr>
        <w:t>[</w:t>
      </w:r>
      <w:r w:rsidR="00E64E27" w:rsidRPr="004B546E">
        <w:rPr>
          <w:rFonts w:ascii="Times New Roman" w:hAnsi="Times New Roman" w:cs="Times New Roman"/>
          <w:color w:val="000000" w:themeColor="text1"/>
        </w:rPr>
        <w:t>16</w:t>
      </w:r>
      <w:r w:rsidR="00596474"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Varghese et al. (2025) enrolled 90 paediatric ED patients with two-hour follow-up only (India)</w:t>
      </w:r>
      <w:r w:rsidR="00596474" w:rsidRPr="004B546E">
        <w:rPr>
          <w:rFonts w:ascii="Times New Roman" w:hAnsi="Times New Roman" w:cs="Times New Roman"/>
          <w:color w:val="000000" w:themeColor="text1"/>
        </w:rPr>
        <w:t xml:space="preserve"> </w:t>
      </w:r>
      <w:r w:rsidR="00596474" w:rsidRPr="004B546E">
        <w:rPr>
          <w:rFonts w:ascii="Times New Roman" w:hAnsi="Times New Roman" w:cs="Times New Roman" w:hint="eastAsia"/>
          <w:color w:val="000000" w:themeColor="text1"/>
        </w:rPr>
        <w:t>[</w:t>
      </w:r>
      <w:r w:rsidR="00E56D8D" w:rsidRPr="004B546E">
        <w:rPr>
          <w:rFonts w:ascii="Times New Roman" w:hAnsi="Times New Roman" w:cs="Times New Roman"/>
          <w:color w:val="000000" w:themeColor="text1"/>
        </w:rPr>
        <w:t>17</w:t>
      </w:r>
      <w:r w:rsidR="00596474"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Leroux et al. (2023) enrolled 222 adult ED patients but was substantially underpowered (target 582, enrolled 223; USA)</w:t>
      </w:r>
      <w:r w:rsidR="00596474" w:rsidRPr="004B546E">
        <w:rPr>
          <w:rFonts w:ascii="Times New Roman" w:hAnsi="Times New Roman" w:cs="Times New Roman" w:hint="eastAsia"/>
          <w:color w:val="000000" w:themeColor="text1"/>
        </w:rPr>
        <w:t xml:space="preserve"> [</w:t>
      </w:r>
      <w:r w:rsidR="006951F5" w:rsidRPr="004B546E">
        <w:rPr>
          <w:rFonts w:ascii="Times New Roman" w:hAnsi="Times New Roman" w:cs="Times New Roman"/>
          <w:color w:val="000000" w:themeColor="text1"/>
        </w:rPr>
        <w:t>18</w:t>
      </w:r>
      <w:r w:rsidR="00596474"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and Nishizawa et al. (2020) randomised 60 adult ICU DIVA patients to nurse-performed USG versus standard care (Japan)</w:t>
      </w:r>
      <w:r w:rsidR="009B25C7" w:rsidRPr="004B546E">
        <w:rPr>
          <w:rFonts w:ascii="Times New Roman" w:hAnsi="Times New Roman" w:cs="Times New Roman"/>
          <w:color w:val="000000" w:themeColor="text1"/>
        </w:rPr>
        <w:t xml:space="preserve"> </w:t>
      </w:r>
      <w:r w:rsidR="009B25C7" w:rsidRPr="004B546E">
        <w:rPr>
          <w:rFonts w:ascii="Times New Roman" w:hAnsi="Times New Roman" w:cs="Times New Roman" w:hint="eastAsia"/>
          <w:color w:val="000000" w:themeColor="text1"/>
        </w:rPr>
        <w:t>[</w:t>
      </w:r>
      <w:r w:rsidR="006951F5" w:rsidRPr="004B546E">
        <w:rPr>
          <w:rFonts w:ascii="Times New Roman" w:hAnsi="Times New Roman" w:cs="Times New Roman"/>
          <w:color w:val="000000" w:themeColor="text1"/>
        </w:rPr>
        <w:t>15</w:t>
      </w:r>
      <w:r w:rsidR="009B25C7"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reporting post-insertion extravasation as a secondary outcome (13.6% vs 28.5%, p=0.394).</w:t>
      </w:r>
    </w:p>
    <w:p w14:paraId="19129AC2" w14:textId="462E5326" w:rsidR="00B12487" w:rsidRPr="004B546E" w:rsidRDefault="00B12487" w:rsidP="00B12487">
      <w:pPr>
        <w:rPr>
          <w:rFonts w:ascii="Times New Roman" w:hAnsi="Times New Roman" w:cs="Times New Roman"/>
          <w:color w:val="000000" w:themeColor="text1"/>
        </w:rPr>
      </w:pPr>
      <w:r w:rsidRPr="004B546E">
        <w:rPr>
          <w:rFonts w:ascii="Times New Roman" w:hAnsi="Times New Roman" w:cs="Times New Roman"/>
          <w:color w:val="000000" w:themeColor="text1"/>
        </w:rPr>
        <w:t>Among the nine cohort studies, Feinsmith et al. (2021) was the largest (n=43,470 adult DIVA patients; USA)</w:t>
      </w:r>
      <w:r w:rsidR="009B25C7" w:rsidRPr="004B546E">
        <w:rPr>
          <w:rFonts w:ascii="Times New Roman" w:hAnsi="Times New Roman" w:cs="Times New Roman"/>
          <w:color w:val="000000" w:themeColor="text1"/>
        </w:rPr>
        <w:t xml:space="preserve"> </w:t>
      </w:r>
      <w:r w:rsidR="009B25C7" w:rsidRPr="004B546E">
        <w:rPr>
          <w:rFonts w:ascii="Times New Roman" w:hAnsi="Times New Roman" w:cs="Times New Roman" w:hint="eastAsia"/>
          <w:color w:val="000000" w:themeColor="text1"/>
        </w:rPr>
        <w:t>[</w:t>
      </w:r>
      <w:r w:rsidR="006951F5" w:rsidRPr="004B546E">
        <w:rPr>
          <w:rFonts w:ascii="Times New Roman" w:hAnsi="Times New Roman" w:cs="Times New Roman"/>
          <w:color w:val="000000" w:themeColor="text1"/>
        </w:rPr>
        <w:t>19</w:t>
      </w:r>
      <w:r w:rsidR="009B25C7"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Shokoohi et al. (2019) prospectively followed 330 adult ED patients with 72-hour follow-up, achieving the highest NOS score (9/9)</w:t>
      </w:r>
      <w:r w:rsidR="009B25C7" w:rsidRPr="004B546E">
        <w:rPr>
          <w:rFonts w:ascii="Times New Roman" w:hAnsi="Times New Roman" w:cs="Times New Roman" w:hint="eastAsia"/>
          <w:color w:val="000000" w:themeColor="text1"/>
        </w:rPr>
        <w:t xml:space="preserve"> [</w:t>
      </w:r>
      <w:r w:rsidR="006951F5" w:rsidRPr="004B546E">
        <w:rPr>
          <w:rFonts w:ascii="Times New Roman" w:hAnsi="Times New Roman" w:cs="Times New Roman"/>
          <w:color w:val="000000" w:themeColor="text1"/>
        </w:rPr>
        <w:t>20</w:t>
      </w:r>
      <w:r w:rsidR="009B25C7"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Cottrell et al. (2021) is notable as the only unconfounded study reporting significantly longer USG dwell time (mean 96.1 vs. 59.4 hours; p&lt;0.001) using identical catheter types in both groups, though USG cases were disproportionately classified as difficult (75% vs. 36%)</w:t>
      </w:r>
      <w:r w:rsidR="009B25C7" w:rsidRPr="004B546E">
        <w:rPr>
          <w:rFonts w:ascii="Times New Roman" w:hAnsi="Times New Roman" w:cs="Times New Roman"/>
          <w:color w:val="000000" w:themeColor="text1"/>
        </w:rPr>
        <w:t xml:space="preserve"> </w:t>
      </w:r>
      <w:r w:rsidR="009B25C7" w:rsidRPr="004B546E">
        <w:rPr>
          <w:rFonts w:ascii="Times New Roman" w:hAnsi="Times New Roman" w:cs="Times New Roman" w:hint="eastAsia"/>
          <w:color w:val="000000" w:themeColor="text1"/>
        </w:rPr>
        <w:t>[</w:t>
      </w:r>
      <w:r w:rsidR="00DD3DD5" w:rsidRPr="004B546E">
        <w:rPr>
          <w:rFonts w:ascii="Times New Roman" w:hAnsi="Times New Roman" w:cs="Times New Roman"/>
          <w:color w:val="000000" w:themeColor="text1"/>
        </w:rPr>
        <w:t>21</w:t>
      </w:r>
      <w:r w:rsidR="009B25C7"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w:t>
      </w:r>
    </w:p>
    <w:p w14:paraId="79C7B0E8" w14:textId="15DDB736" w:rsidR="00B12487" w:rsidRPr="004B546E" w:rsidRDefault="00B12487"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Four cohort studies were identified as having major catheter-specification confounding (detailed in the section below): Dachepally et al. (2023)</w:t>
      </w:r>
      <w:r w:rsidR="00F5007C" w:rsidRPr="004B546E">
        <w:rPr>
          <w:rFonts w:ascii="Times New Roman" w:hAnsi="Times New Roman" w:cs="Times New Roman"/>
          <w:color w:val="000000" w:themeColor="text1"/>
        </w:rPr>
        <w:t xml:space="preserve"> </w:t>
      </w:r>
      <w:r w:rsidR="00F5007C" w:rsidRPr="004B546E">
        <w:rPr>
          <w:rFonts w:ascii="Times New Roman" w:hAnsi="Times New Roman" w:cs="Times New Roman" w:hint="eastAsia"/>
          <w:color w:val="000000" w:themeColor="text1"/>
        </w:rPr>
        <w:t>[</w:t>
      </w:r>
      <w:r w:rsidR="00DD3DD5" w:rsidRPr="004B546E">
        <w:rPr>
          <w:rFonts w:ascii="Times New Roman" w:hAnsi="Times New Roman" w:cs="Times New Roman"/>
          <w:color w:val="000000" w:themeColor="text1"/>
        </w:rPr>
        <w:t>22</w:t>
      </w:r>
      <w:r w:rsidR="00F5007C"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Paladini et al. (2018)</w:t>
      </w:r>
      <w:r w:rsidR="00F5007C" w:rsidRPr="004B546E">
        <w:rPr>
          <w:rFonts w:ascii="Times New Roman" w:hAnsi="Times New Roman" w:cs="Times New Roman" w:hint="eastAsia"/>
          <w:color w:val="000000" w:themeColor="text1"/>
        </w:rPr>
        <w:t xml:space="preserve"> [</w:t>
      </w:r>
      <w:r w:rsidR="00930025" w:rsidRPr="004B546E">
        <w:rPr>
          <w:rFonts w:ascii="Times New Roman" w:hAnsi="Times New Roman" w:cs="Times New Roman"/>
          <w:color w:val="000000" w:themeColor="text1"/>
        </w:rPr>
        <w:t>23</w:t>
      </w:r>
      <w:r w:rsidR="00F5007C"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Refosco et al. (202</w:t>
      </w:r>
      <w:r w:rsidR="00312CB8" w:rsidRPr="004B546E">
        <w:rPr>
          <w:rFonts w:ascii="Times New Roman" w:hAnsi="Times New Roman" w:cs="Times New Roman" w:hint="eastAsia"/>
          <w:color w:val="000000" w:themeColor="text1"/>
        </w:rPr>
        <w:t>5</w:t>
      </w:r>
      <w:r w:rsidRPr="004B546E">
        <w:rPr>
          <w:rFonts w:ascii="Times New Roman" w:hAnsi="Times New Roman" w:cs="Times New Roman"/>
          <w:color w:val="000000" w:themeColor="text1"/>
        </w:rPr>
        <w:t>)</w:t>
      </w:r>
      <w:r w:rsidR="00F85351" w:rsidRPr="004B546E">
        <w:rPr>
          <w:rFonts w:ascii="Times New Roman" w:hAnsi="Times New Roman" w:cs="Times New Roman"/>
          <w:color w:val="000000" w:themeColor="text1"/>
        </w:rPr>
        <w:t xml:space="preserve"> </w:t>
      </w:r>
      <w:r w:rsidR="00F85351" w:rsidRPr="004B546E">
        <w:rPr>
          <w:rFonts w:ascii="Times New Roman" w:hAnsi="Times New Roman" w:cs="Times New Roman" w:hint="eastAsia"/>
          <w:color w:val="000000" w:themeColor="text1"/>
        </w:rPr>
        <w:t>[</w:t>
      </w:r>
      <w:r w:rsidR="00930025" w:rsidRPr="004B546E">
        <w:rPr>
          <w:rFonts w:ascii="Times New Roman" w:hAnsi="Times New Roman" w:cs="Times New Roman"/>
          <w:color w:val="000000" w:themeColor="text1"/>
        </w:rPr>
        <w:t>24</w:t>
      </w:r>
      <w:r w:rsidR="00F85351"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and Desai et al. (2018)</w:t>
      </w:r>
      <w:r w:rsidR="00F85351" w:rsidRPr="004B546E">
        <w:rPr>
          <w:rFonts w:ascii="Times New Roman" w:hAnsi="Times New Roman" w:cs="Times New Roman" w:hint="eastAsia"/>
          <w:color w:val="000000" w:themeColor="text1"/>
        </w:rPr>
        <w:t xml:space="preserve"> [</w:t>
      </w:r>
      <w:r w:rsidR="00930025" w:rsidRPr="004B546E">
        <w:rPr>
          <w:rFonts w:ascii="Times New Roman" w:hAnsi="Times New Roman" w:cs="Times New Roman"/>
          <w:color w:val="000000" w:themeColor="text1"/>
        </w:rPr>
        <w:t>14</w:t>
      </w:r>
      <w:r w:rsidR="00F85351"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In all four, USG catheters were systematically longer or of different material than comparator catheters, rendering outcome differences unattributable to ultrasound guidance alone.</w:t>
      </w:r>
    </w:p>
    <w:p w14:paraId="7CDAA977" w14:textId="5C9179E3" w:rsidR="00B12487" w:rsidRPr="004B546E" w:rsidRDefault="00B12487"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Risk of Bias</w:t>
      </w:r>
    </w:p>
    <w:p w14:paraId="6BA43DBA" w14:textId="22B14CE5" w:rsidR="00B12487" w:rsidRPr="004B546E" w:rsidRDefault="00B12487"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Among the five RCTs, four were judged to have “some concerns” overall (Kleidon et al., 2025</w:t>
      </w:r>
      <w:r w:rsidR="00582236" w:rsidRPr="004B546E">
        <w:rPr>
          <w:rFonts w:ascii="Times New Roman" w:hAnsi="Times New Roman" w:cs="Times New Roman"/>
          <w:color w:val="000000" w:themeColor="text1"/>
        </w:rPr>
        <w:t xml:space="preserve"> [</w:t>
      </w:r>
      <w:r w:rsidR="00930025" w:rsidRPr="004B546E">
        <w:rPr>
          <w:rFonts w:ascii="Times New Roman" w:hAnsi="Times New Roman" w:cs="Times New Roman"/>
          <w:color w:val="000000" w:themeColor="text1"/>
        </w:rPr>
        <w:t>12</w:t>
      </w:r>
      <w:r w:rsidR="00582236"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Bridey et al., 2018</w:t>
      </w:r>
      <w:r w:rsidR="00127411" w:rsidRPr="004B546E">
        <w:rPr>
          <w:rFonts w:ascii="Times New Roman" w:hAnsi="Times New Roman" w:cs="Times New Roman"/>
          <w:color w:val="000000" w:themeColor="text1"/>
        </w:rPr>
        <w:t xml:space="preserve"> [</w:t>
      </w:r>
      <w:r w:rsidR="00930025" w:rsidRPr="004B546E">
        <w:rPr>
          <w:rFonts w:ascii="Times New Roman" w:hAnsi="Times New Roman" w:cs="Times New Roman"/>
          <w:color w:val="000000" w:themeColor="text1"/>
        </w:rPr>
        <w:t>16</w:t>
      </w:r>
      <w:r w:rsidR="00127411"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Varghese et al., 2025</w:t>
      </w:r>
      <w:r w:rsidR="00127411" w:rsidRPr="004B546E">
        <w:rPr>
          <w:rFonts w:ascii="Times New Roman" w:hAnsi="Times New Roman" w:cs="Times New Roman"/>
          <w:color w:val="000000" w:themeColor="text1"/>
        </w:rPr>
        <w:t xml:space="preserve"> </w:t>
      </w:r>
      <w:r w:rsidR="00127411" w:rsidRPr="004B546E">
        <w:rPr>
          <w:rFonts w:ascii="Times New Roman" w:hAnsi="Times New Roman" w:cs="Times New Roman" w:hint="eastAsia"/>
          <w:color w:val="000000" w:themeColor="text1"/>
        </w:rPr>
        <w:t>[</w:t>
      </w:r>
      <w:r w:rsidR="00930025" w:rsidRPr="004B546E">
        <w:rPr>
          <w:rFonts w:ascii="Times New Roman" w:hAnsi="Times New Roman" w:cs="Times New Roman"/>
          <w:color w:val="000000" w:themeColor="text1"/>
        </w:rPr>
        <w:t>17</w:t>
      </w:r>
      <w:r w:rsidR="00127411"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primarily related to performance bias inherent in open-label designs where blinding of the operator is not feasible. Leroux et al. (2023) was rated as high risk of bias due to substantial attrition and failure to reach the target sample size</w:t>
      </w:r>
      <w:r w:rsidR="00127411" w:rsidRPr="004B546E">
        <w:rPr>
          <w:rFonts w:ascii="Times New Roman" w:hAnsi="Times New Roman" w:cs="Times New Roman"/>
          <w:color w:val="000000" w:themeColor="text1"/>
        </w:rPr>
        <w:t xml:space="preserve"> </w:t>
      </w:r>
      <w:r w:rsidR="00127411" w:rsidRPr="004B546E">
        <w:rPr>
          <w:rFonts w:ascii="Times New Roman" w:hAnsi="Times New Roman" w:cs="Times New Roman" w:hint="eastAsia"/>
          <w:color w:val="000000" w:themeColor="text1"/>
        </w:rPr>
        <w:t>[</w:t>
      </w:r>
      <w:r w:rsidR="00930025" w:rsidRPr="004B546E">
        <w:rPr>
          <w:rFonts w:ascii="Times New Roman" w:hAnsi="Times New Roman" w:cs="Times New Roman"/>
          <w:color w:val="000000" w:themeColor="text1"/>
        </w:rPr>
        <w:t>18</w:t>
      </w:r>
      <w:r w:rsidR="00127411"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w:t>
      </w:r>
    </w:p>
    <w:p w14:paraId="125C89F6" w14:textId="3B632564" w:rsidR="00F609EB" w:rsidRPr="004B546E" w:rsidRDefault="00B12487" w:rsidP="00B12487">
      <w:pPr>
        <w:rPr>
          <w:rFonts w:ascii="Times New Roman" w:hAnsi="Times New Roman" w:cs="Times New Roman"/>
          <w:color w:val="000000" w:themeColor="text1"/>
        </w:rPr>
      </w:pPr>
      <w:r w:rsidRPr="004B546E">
        <w:rPr>
          <w:rFonts w:ascii="Times New Roman" w:hAnsi="Times New Roman" w:cs="Times New Roman"/>
          <w:color w:val="000000" w:themeColor="text1"/>
        </w:rPr>
        <w:t>Among the nine cohort studies, NOS scores ranged from 5 to 9 (</w:t>
      </w:r>
      <w:r w:rsidRPr="004B546E">
        <w:rPr>
          <w:rFonts w:ascii="Times New Roman" w:hAnsi="Times New Roman" w:cs="Times New Roman"/>
          <w:b/>
          <w:bCs/>
          <w:color w:val="000000" w:themeColor="text1"/>
        </w:rPr>
        <w:t>Table 2</w:t>
      </w:r>
      <w:r w:rsidRPr="004B546E">
        <w:rPr>
          <w:rFonts w:ascii="Times New Roman" w:hAnsi="Times New Roman" w:cs="Times New Roman"/>
          <w:color w:val="000000" w:themeColor="text1"/>
        </w:rPr>
        <w:t>). Shokoohi et al. (2019) achieved the maximum score of 9/9</w:t>
      </w:r>
      <w:r w:rsidR="00D61449" w:rsidRPr="004B546E">
        <w:rPr>
          <w:rFonts w:ascii="Times New Roman" w:hAnsi="Times New Roman" w:cs="Times New Roman"/>
          <w:color w:val="000000" w:themeColor="text1"/>
        </w:rPr>
        <w:t xml:space="preserve"> </w:t>
      </w:r>
      <w:r w:rsidR="00D61449" w:rsidRPr="004B546E">
        <w:rPr>
          <w:rFonts w:ascii="Times New Roman" w:hAnsi="Times New Roman" w:cs="Times New Roman" w:hint="eastAsia"/>
          <w:color w:val="000000" w:themeColor="text1"/>
        </w:rPr>
        <w:t>[</w:t>
      </w:r>
      <w:r w:rsidR="00930025" w:rsidRPr="004B546E">
        <w:rPr>
          <w:rFonts w:ascii="Times New Roman" w:hAnsi="Times New Roman" w:cs="Times New Roman"/>
          <w:color w:val="000000" w:themeColor="text1"/>
        </w:rPr>
        <w:t>20</w:t>
      </w:r>
      <w:r w:rsidR="00D61449"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Feinsmith et al. (202</w:t>
      </w:r>
      <w:r w:rsidR="003A5A92" w:rsidRPr="004B546E">
        <w:rPr>
          <w:rFonts w:ascii="Times New Roman" w:hAnsi="Times New Roman" w:cs="Times New Roman" w:hint="eastAsia"/>
          <w:color w:val="000000" w:themeColor="text1"/>
        </w:rPr>
        <w:t>3</w:t>
      </w:r>
      <w:r w:rsidRPr="004B546E">
        <w:rPr>
          <w:rFonts w:ascii="Times New Roman" w:hAnsi="Times New Roman" w:cs="Times New Roman"/>
          <w:color w:val="000000" w:themeColor="text1"/>
        </w:rPr>
        <w:t>)</w:t>
      </w:r>
      <w:r w:rsidR="00DD7B3D" w:rsidRPr="004B546E">
        <w:rPr>
          <w:rFonts w:ascii="Times New Roman" w:hAnsi="Times New Roman" w:cs="Times New Roman"/>
          <w:color w:val="000000" w:themeColor="text1"/>
        </w:rPr>
        <w:t xml:space="preserve"> </w:t>
      </w:r>
      <w:r w:rsidR="00DD7B3D" w:rsidRPr="004B546E">
        <w:rPr>
          <w:rFonts w:ascii="Times New Roman" w:hAnsi="Times New Roman" w:cs="Times New Roman" w:hint="eastAsia"/>
          <w:color w:val="000000" w:themeColor="text1"/>
        </w:rPr>
        <w:t>[</w:t>
      </w:r>
      <w:r w:rsidR="00930025" w:rsidRPr="004B546E">
        <w:rPr>
          <w:rFonts w:ascii="Times New Roman" w:hAnsi="Times New Roman" w:cs="Times New Roman"/>
          <w:color w:val="000000" w:themeColor="text1"/>
        </w:rPr>
        <w:t>19</w:t>
      </w:r>
      <w:r w:rsidR="00DD7B3D"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Dachepally et al. (2023)</w:t>
      </w:r>
      <w:r w:rsidR="00BB332F" w:rsidRPr="004B546E">
        <w:rPr>
          <w:rFonts w:ascii="Times New Roman" w:hAnsi="Times New Roman" w:cs="Times New Roman"/>
          <w:color w:val="000000" w:themeColor="text1"/>
        </w:rPr>
        <w:t xml:space="preserve"> </w:t>
      </w:r>
      <w:r w:rsidR="00BB332F" w:rsidRPr="004B546E">
        <w:rPr>
          <w:rFonts w:ascii="Times New Roman" w:hAnsi="Times New Roman" w:cs="Times New Roman" w:hint="eastAsia"/>
          <w:color w:val="000000" w:themeColor="text1"/>
        </w:rPr>
        <w:t>[</w:t>
      </w:r>
      <w:r w:rsidR="00930025" w:rsidRPr="004B546E">
        <w:rPr>
          <w:rFonts w:ascii="Times New Roman" w:hAnsi="Times New Roman" w:cs="Times New Roman"/>
          <w:color w:val="000000" w:themeColor="text1"/>
        </w:rPr>
        <w:t>22</w:t>
      </w:r>
      <w:r w:rsidR="00BB332F"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Paladini et al. (2018)</w:t>
      </w:r>
      <w:r w:rsidR="00401F67" w:rsidRPr="004B546E">
        <w:rPr>
          <w:rFonts w:ascii="Times New Roman" w:hAnsi="Times New Roman" w:cs="Times New Roman"/>
          <w:color w:val="000000" w:themeColor="text1"/>
        </w:rPr>
        <w:t xml:space="preserve"> </w:t>
      </w:r>
      <w:r w:rsidR="00401F67" w:rsidRPr="004B546E">
        <w:rPr>
          <w:rFonts w:ascii="Times New Roman" w:hAnsi="Times New Roman" w:cs="Times New Roman" w:hint="eastAsia"/>
          <w:color w:val="000000" w:themeColor="text1"/>
        </w:rPr>
        <w:t>[</w:t>
      </w:r>
      <w:r w:rsidR="00930025" w:rsidRPr="004B546E">
        <w:rPr>
          <w:rFonts w:ascii="Times New Roman" w:hAnsi="Times New Roman" w:cs="Times New Roman"/>
          <w:color w:val="000000" w:themeColor="text1"/>
        </w:rPr>
        <w:t>23</w:t>
      </w:r>
      <w:r w:rsidR="00401F67"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Cottrell et al. (2021)</w:t>
      </w:r>
      <w:r w:rsidR="00401F67" w:rsidRPr="004B546E">
        <w:rPr>
          <w:rFonts w:ascii="Times New Roman" w:hAnsi="Times New Roman" w:cs="Times New Roman"/>
          <w:color w:val="000000" w:themeColor="text1"/>
        </w:rPr>
        <w:t xml:space="preserve"> </w:t>
      </w:r>
      <w:r w:rsidR="00401F67" w:rsidRPr="004B546E">
        <w:rPr>
          <w:rFonts w:ascii="Times New Roman" w:hAnsi="Times New Roman" w:cs="Times New Roman" w:hint="eastAsia"/>
          <w:color w:val="000000" w:themeColor="text1"/>
        </w:rPr>
        <w:t>[</w:t>
      </w:r>
      <w:r w:rsidR="00930025" w:rsidRPr="004B546E">
        <w:rPr>
          <w:rFonts w:ascii="Times New Roman" w:hAnsi="Times New Roman" w:cs="Times New Roman"/>
          <w:color w:val="000000" w:themeColor="text1"/>
        </w:rPr>
        <w:t>21</w:t>
      </w:r>
      <w:r w:rsidR="00401F67"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and Refosco et al. (202</w:t>
      </w:r>
      <w:r w:rsidR="005E3FDF" w:rsidRPr="004B546E">
        <w:rPr>
          <w:rFonts w:ascii="Times New Roman" w:hAnsi="Times New Roman" w:cs="Times New Roman" w:hint="eastAsia"/>
          <w:color w:val="000000" w:themeColor="text1"/>
        </w:rPr>
        <w:t>5</w:t>
      </w:r>
      <w:r w:rsidRPr="004B546E">
        <w:rPr>
          <w:rFonts w:ascii="Times New Roman" w:hAnsi="Times New Roman" w:cs="Times New Roman"/>
          <w:color w:val="000000" w:themeColor="text1"/>
        </w:rPr>
        <w:t xml:space="preserve">) </w:t>
      </w:r>
      <w:r w:rsidR="00401F67" w:rsidRPr="004B546E">
        <w:rPr>
          <w:rFonts w:ascii="Times New Roman" w:hAnsi="Times New Roman" w:cs="Times New Roman" w:hint="eastAsia"/>
          <w:color w:val="000000" w:themeColor="text1"/>
        </w:rPr>
        <w:t>[</w:t>
      </w:r>
      <w:r w:rsidR="00930025" w:rsidRPr="004B546E">
        <w:rPr>
          <w:rFonts w:ascii="Times New Roman" w:hAnsi="Times New Roman" w:cs="Times New Roman"/>
          <w:color w:val="000000" w:themeColor="text1"/>
        </w:rPr>
        <w:t>24</w:t>
      </w:r>
      <w:r w:rsidR="00401F67" w:rsidRPr="004B546E">
        <w:rPr>
          <w:rFonts w:ascii="Times New Roman" w:hAnsi="Times New Roman" w:cs="Times New Roman" w:hint="eastAsia"/>
          <w:color w:val="000000" w:themeColor="text1"/>
        </w:rPr>
        <w:t>]</w:t>
      </w:r>
      <w:r w:rsidR="00401F67"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each scored 6/9, with points deducted primarily in the comparability domain (catheter type confounding for Dachepally, Paladini, and Refosco; difficulty-classification imbalance for Cottrell). Favot et al. (2019)</w:t>
      </w:r>
      <w:r w:rsidR="00401F67" w:rsidRPr="004B546E">
        <w:rPr>
          <w:rFonts w:ascii="Times New Roman" w:hAnsi="Times New Roman" w:cs="Times New Roman"/>
          <w:color w:val="000000" w:themeColor="text1"/>
        </w:rPr>
        <w:t xml:space="preserve"> </w:t>
      </w:r>
      <w:r w:rsidR="00401F67" w:rsidRPr="004B546E">
        <w:rPr>
          <w:rFonts w:ascii="Times New Roman" w:hAnsi="Times New Roman" w:cs="Times New Roman" w:hint="eastAsia"/>
          <w:color w:val="000000" w:themeColor="text1"/>
        </w:rPr>
        <w:t>[</w:t>
      </w:r>
      <w:r w:rsidR="00930025" w:rsidRPr="004B546E">
        <w:rPr>
          <w:rFonts w:ascii="Times New Roman" w:hAnsi="Times New Roman" w:cs="Times New Roman"/>
          <w:color w:val="000000" w:themeColor="text1"/>
        </w:rPr>
        <w:t>25</w:t>
      </w:r>
      <w:r w:rsidR="00401F67"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Saltarelli et al. (2015)</w:t>
      </w:r>
      <w:r w:rsidR="00401F67" w:rsidRPr="004B546E">
        <w:rPr>
          <w:rFonts w:ascii="Times New Roman" w:hAnsi="Times New Roman" w:cs="Times New Roman"/>
          <w:color w:val="000000" w:themeColor="text1"/>
        </w:rPr>
        <w:t xml:space="preserve"> </w:t>
      </w:r>
      <w:r w:rsidR="00401F67" w:rsidRPr="004B546E">
        <w:rPr>
          <w:rFonts w:ascii="Times New Roman" w:hAnsi="Times New Roman" w:cs="Times New Roman" w:hint="eastAsia"/>
          <w:color w:val="000000" w:themeColor="text1"/>
        </w:rPr>
        <w:t>[</w:t>
      </w:r>
      <w:r w:rsidR="005E28D5" w:rsidRPr="004B546E">
        <w:rPr>
          <w:rFonts w:ascii="Times New Roman" w:hAnsi="Times New Roman" w:cs="Times New Roman"/>
          <w:color w:val="000000" w:themeColor="text1"/>
        </w:rPr>
        <w:t>26</w:t>
      </w:r>
      <w:r w:rsidR="00401F67"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and Desai et al. (2018)</w:t>
      </w:r>
      <w:r w:rsidR="00401F67" w:rsidRPr="004B546E">
        <w:rPr>
          <w:rFonts w:ascii="Times New Roman" w:hAnsi="Times New Roman" w:cs="Times New Roman"/>
          <w:color w:val="000000" w:themeColor="text1"/>
        </w:rPr>
        <w:t xml:space="preserve"> </w:t>
      </w:r>
      <w:r w:rsidR="00401F67" w:rsidRPr="004B546E">
        <w:rPr>
          <w:rFonts w:ascii="Times New Roman" w:hAnsi="Times New Roman" w:cs="Times New Roman" w:hint="eastAsia"/>
          <w:color w:val="000000" w:themeColor="text1"/>
        </w:rPr>
        <w:t>[</w:t>
      </w:r>
      <w:r w:rsidR="005E28D5" w:rsidRPr="004B546E">
        <w:rPr>
          <w:rFonts w:ascii="Times New Roman" w:hAnsi="Times New Roman" w:cs="Times New Roman"/>
          <w:color w:val="000000" w:themeColor="text1"/>
        </w:rPr>
        <w:t>14</w:t>
      </w:r>
      <w:r w:rsidR="00401F67"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xml:space="preserve"> scored 5/9</w:t>
      </w:r>
      <w:r w:rsidR="00C539CE" w:rsidRPr="004B546E">
        <w:rPr>
          <w:rFonts w:ascii="Times New Roman" w:hAnsi="Times New Roman" w:cs="Times New Roman"/>
          <w:color w:val="000000" w:themeColor="text1"/>
        </w:rPr>
        <w:t xml:space="preserve"> (</w:t>
      </w:r>
      <w:r w:rsidR="00B30C89" w:rsidRPr="004B546E">
        <w:rPr>
          <w:rFonts w:ascii="Times New Roman" w:hAnsi="Times New Roman" w:cs="Times New Roman"/>
          <w:b/>
          <w:bCs/>
          <w:color w:val="000000" w:themeColor="text1"/>
        </w:rPr>
        <w:t>Table 2</w:t>
      </w:r>
      <w:r w:rsidR="00C539CE"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w:t>
      </w:r>
    </w:p>
    <w:p w14:paraId="48F3CFE3" w14:textId="3090315E" w:rsidR="00853180" w:rsidRPr="004B546E" w:rsidRDefault="00853180"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Meta-Analysis Results</w:t>
      </w:r>
    </w:p>
    <w:p w14:paraId="4C7B0338" w14:textId="52985177" w:rsidR="00853180" w:rsidRPr="004B546E" w:rsidRDefault="00853180"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Primary Outcome: Catheter Failure</w:t>
      </w:r>
    </w:p>
    <w:p w14:paraId="31B7F5AC" w14:textId="554141F6" w:rsidR="00853180" w:rsidRPr="004B546E" w:rsidRDefault="00853180"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Four studies reported catheter failure or premature removal as a dichotomous outcome and were eligible for pooling (Kleidon et al., 2025</w:t>
      </w:r>
      <w:r w:rsidR="00F70F73" w:rsidRPr="004B546E">
        <w:rPr>
          <w:rFonts w:ascii="Times New Roman" w:hAnsi="Times New Roman" w:cs="Times New Roman"/>
          <w:color w:val="000000" w:themeColor="text1"/>
        </w:rPr>
        <w:t xml:space="preserve"> </w:t>
      </w:r>
      <w:r w:rsidR="00480EBA" w:rsidRPr="004B546E">
        <w:rPr>
          <w:rFonts w:ascii="Times New Roman" w:hAnsi="Times New Roman" w:cs="Times New Roman" w:hint="eastAsia"/>
          <w:color w:val="000000" w:themeColor="text1"/>
        </w:rPr>
        <w:t>[</w:t>
      </w:r>
      <w:r w:rsidR="0084062E" w:rsidRPr="004B546E">
        <w:rPr>
          <w:rFonts w:ascii="Times New Roman" w:hAnsi="Times New Roman" w:cs="Times New Roman"/>
          <w:color w:val="000000" w:themeColor="text1"/>
        </w:rPr>
        <w:t>12</w:t>
      </w:r>
      <w:r w:rsidR="00480EBA"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Leroux et al., 2023</w:t>
      </w:r>
      <w:r w:rsidR="00480EBA" w:rsidRPr="004B546E">
        <w:rPr>
          <w:rFonts w:ascii="Times New Roman" w:hAnsi="Times New Roman" w:cs="Times New Roman"/>
          <w:color w:val="000000" w:themeColor="text1"/>
        </w:rPr>
        <w:t xml:space="preserve"> </w:t>
      </w:r>
      <w:r w:rsidR="00480EBA" w:rsidRPr="004B546E">
        <w:rPr>
          <w:rFonts w:ascii="Times New Roman" w:hAnsi="Times New Roman" w:cs="Times New Roman" w:hint="eastAsia"/>
          <w:color w:val="000000" w:themeColor="text1"/>
        </w:rPr>
        <w:t>[</w:t>
      </w:r>
      <w:r w:rsidR="0084062E" w:rsidRPr="004B546E">
        <w:rPr>
          <w:rFonts w:ascii="Times New Roman" w:hAnsi="Times New Roman" w:cs="Times New Roman"/>
          <w:color w:val="000000" w:themeColor="text1"/>
        </w:rPr>
        <w:t>18</w:t>
      </w:r>
      <w:r w:rsidR="00480EBA"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Shokoohi et al., 2019</w:t>
      </w:r>
      <w:r w:rsidR="009D6FE2" w:rsidRPr="004B546E">
        <w:rPr>
          <w:rFonts w:ascii="Times New Roman" w:hAnsi="Times New Roman" w:cs="Times New Roman"/>
          <w:color w:val="000000" w:themeColor="text1"/>
        </w:rPr>
        <w:t xml:space="preserve"> </w:t>
      </w:r>
      <w:r w:rsidR="00480EBA" w:rsidRPr="004B546E">
        <w:rPr>
          <w:rFonts w:ascii="Times New Roman" w:hAnsi="Times New Roman" w:cs="Times New Roman" w:hint="eastAsia"/>
          <w:color w:val="000000" w:themeColor="text1"/>
        </w:rPr>
        <w:t>[</w:t>
      </w:r>
      <w:r w:rsidR="009D6FE2" w:rsidRPr="004B546E">
        <w:rPr>
          <w:rFonts w:ascii="Times New Roman" w:hAnsi="Times New Roman" w:cs="Times New Roman"/>
          <w:color w:val="000000" w:themeColor="text1"/>
        </w:rPr>
        <w:t>20</w:t>
      </w:r>
      <w:r w:rsidR="00480EBA"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Saltarelli et al., 2015</w:t>
      </w:r>
      <w:r w:rsidR="00480EBA" w:rsidRPr="004B546E">
        <w:rPr>
          <w:rFonts w:ascii="Times New Roman" w:hAnsi="Times New Roman" w:cs="Times New Roman"/>
          <w:color w:val="000000" w:themeColor="text1"/>
        </w:rPr>
        <w:t xml:space="preserve"> </w:t>
      </w:r>
      <w:r w:rsidR="00480EBA" w:rsidRPr="004B546E">
        <w:rPr>
          <w:rFonts w:ascii="Times New Roman" w:hAnsi="Times New Roman" w:cs="Times New Roman" w:hint="eastAsia"/>
          <w:color w:val="000000" w:themeColor="text1"/>
        </w:rPr>
        <w:t>[</w:t>
      </w:r>
      <w:r w:rsidR="009D6FE2" w:rsidRPr="004B546E">
        <w:rPr>
          <w:rFonts w:ascii="Times New Roman" w:hAnsi="Times New Roman" w:cs="Times New Roman"/>
          <w:color w:val="000000" w:themeColor="text1"/>
        </w:rPr>
        <w:t>26]</w:t>
      </w:r>
      <w:r w:rsidRPr="004B546E">
        <w:rPr>
          <w:rFonts w:ascii="Times New Roman" w:hAnsi="Times New Roman" w:cs="Times New Roman"/>
          <w:color w:val="000000" w:themeColor="text1"/>
        </w:rPr>
        <w:t xml:space="preserve">. The pooled random-effects RR was 1.23 (95% CI </w:t>
      </w:r>
      <w:r w:rsidR="001A16AD" w:rsidRPr="004B546E">
        <w:rPr>
          <w:rFonts w:ascii="Times New Roman" w:hAnsi="Times New Roman" w:cs="Times New Roman" w:hint="eastAsia"/>
          <w:color w:val="000000" w:themeColor="text1"/>
        </w:rPr>
        <w:t>1</w:t>
      </w:r>
      <w:r w:rsidRPr="004B546E">
        <w:rPr>
          <w:rFonts w:ascii="Times New Roman" w:hAnsi="Times New Roman" w:cs="Times New Roman"/>
          <w:color w:val="000000" w:themeColor="text1"/>
        </w:rPr>
        <w:t>.</w:t>
      </w:r>
      <w:r w:rsidR="001A16AD" w:rsidRPr="004B546E">
        <w:rPr>
          <w:rFonts w:ascii="Times New Roman" w:hAnsi="Times New Roman" w:cs="Times New Roman"/>
          <w:color w:val="000000" w:themeColor="text1"/>
        </w:rPr>
        <w:t>00</w:t>
      </w:r>
      <w:r w:rsidRPr="004B546E">
        <w:rPr>
          <w:rFonts w:ascii="Times New Roman" w:hAnsi="Times New Roman" w:cs="Times New Roman"/>
          <w:color w:val="000000" w:themeColor="text1"/>
        </w:rPr>
        <w:t>–1.5</w:t>
      </w:r>
      <w:r w:rsidR="001A16AD" w:rsidRPr="004B546E">
        <w:rPr>
          <w:rFonts w:ascii="Times New Roman" w:hAnsi="Times New Roman" w:cs="Times New Roman"/>
          <w:color w:val="000000" w:themeColor="text1"/>
        </w:rPr>
        <w:t>1</w:t>
      </w:r>
      <w:r w:rsidRPr="004B546E">
        <w:rPr>
          <w:rFonts w:ascii="Times New Roman" w:hAnsi="Times New Roman" w:cs="Times New Roman"/>
          <w:color w:val="000000" w:themeColor="text1"/>
        </w:rPr>
        <w:t>; p = 0.056; I</w:t>
      </w:r>
      <w:r w:rsidRPr="004B546E">
        <w:rPr>
          <w:rFonts w:ascii="Times New Roman" w:hAnsi="Times New Roman" w:cs="Times New Roman"/>
          <w:color w:val="000000" w:themeColor="text1"/>
          <w:vertAlign w:val="superscript"/>
        </w:rPr>
        <w:t>2</w:t>
      </w:r>
      <w:r w:rsidRPr="004B546E">
        <w:rPr>
          <w:rFonts w:ascii="Times New Roman" w:hAnsi="Times New Roman" w:cs="Times New Roman"/>
          <w:color w:val="000000" w:themeColor="text1"/>
        </w:rPr>
        <w:t xml:space="preserve"> = 0%), indicating no statistically significant difference between USG and landmark groups (</w:t>
      </w:r>
      <w:r w:rsidRPr="004B546E">
        <w:rPr>
          <w:rFonts w:ascii="Times New Roman" w:hAnsi="Times New Roman" w:cs="Times New Roman"/>
          <w:b/>
          <w:bCs/>
          <w:color w:val="000000" w:themeColor="text1"/>
        </w:rPr>
        <w:t xml:space="preserve">Figure </w:t>
      </w:r>
      <w:r w:rsidR="001601A2" w:rsidRPr="004B546E">
        <w:rPr>
          <w:rFonts w:ascii="Times New Roman" w:hAnsi="Times New Roman" w:cs="Times New Roman"/>
          <w:b/>
          <w:bCs/>
          <w:color w:val="000000" w:themeColor="text1"/>
        </w:rPr>
        <w:t>3</w:t>
      </w:r>
      <w:r w:rsidRPr="004B546E">
        <w:rPr>
          <w:rFonts w:ascii="Times New Roman" w:hAnsi="Times New Roman" w:cs="Times New Roman"/>
          <w:color w:val="000000" w:themeColor="text1"/>
        </w:rPr>
        <w:t>). Although the lower bound rounds to 1.00 at two decimal places, the precise value (</w:t>
      </w:r>
      <w:r w:rsidR="001A16AD" w:rsidRPr="004B546E">
        <w:rPr>
          <w:rFonts w:ascii="Times New Roman" w:hAnsi="Times New Roman" w:cs="Times New Roman"/>
          <w:color w:val="000000" w:themeColor="text1"/>
        </w:rPr>
        <w:t>1</w:t>
      </w:r>
      <w:r w:rsidRPr="004B546E">
        <w:rPr>
          <w:rFonts w:ascii="Times New Roman" w:hAnsi="Times New Roman" w:cs="Times New Roman"/>
          <w:color w:val="000000" w:themeColor="text1"/>
        </w:rPr>
        <w:t>.</w:t>
      </w:r>
      <w:r w:rsidR="001A16AD" w:rsidRPr="004B546E">
        <w:rPr>
          <w:rFonts w:ascii="Times New Roman" w:hAnsi="Times New Roman" w:cs="Times New Roman"/>
          <w:color w:val="000000" w:themeColor="text1"/>
        </w:rPr>
        <w:t>00</w:t>
      </w:r>
      <w:r w:rsidRPr="004B546E">
        <w:rPr>
          <w:rFonts w:ascii="Times New Roman" w:hAnsi="Times New Roman" w:cs="Times New Roman"/>
          <w:color w:val="000000" w:themeColor="text1"/>
        </w:rPr>
        <w:t>) confirms that the confidence interval crossed unity. The point estimate favoured landmark insertion. In a post-hoc sensitivity analysis using the REML estimator and HKSJ confidence interval adjustment (not pre-specified in PROSPERO), the result was directionally consistent (RR 1.2</w:t>
      </w:r>
      <w:r w:rsidR="00EF7C10" w:rsidRPr="004B546E">
        <w:rPr>
          <w:rFonts w:ascii="Times New Roman" w:hAnsi="Times New Roman" w:cs="Times New Roman"/>
          <w:color w:val="000000" w:themeColor="text1"/>
        </w:rPr>
        <w:t>3</w:t>
      </w:r>
      <w:r w:rsidRPr="004B546E">
        <w:rPr>
          <w:rFonts w:ascii="Times New Roman" w:hAnsi="Times New Roman" w:cs="Times New Roman"/>
          <w:color w:val="000000" w:themeColor="text1"/>
        </w:rPr>
        <w:t>, 95% CI 1.00–1.</w:t>
      </w:r>
      <w:r w:rsidR="00EF7C10" w:rsidRPr="004B546E">
        <w:rPr>
          <w:rFonts w:ascii="Times New Roman" w:hAnsi="Times New Roman" w:cs="Times New Roman"/>
          <w:color w:val="000000" w:themeColor="text1"/>
        </w:rPr>
        <w:t>51</w:t>
      </w:r>
      <w:r w:rsidRPr="004B546E">
        <w:rPr>
          <w:rFonts w:ascii="Times New Roman" w:hAnsi="Times New Roman" w:cs="Times New Roman"/>
          <w:color w:val="000000" w:themeColor="text1"/>
        </w:rPr>
        <w:t xml:space="preserve">; p = 0.047). The primary DL estimate (p = 0.056) and HKSJ sensitivity estimate (p = 0.047) both straddle the conventional α = 0.05 threshold, indicating that statistical significance is borderline and sensitive to estimator choice; clinical interpretation should therefore emphasise the point estimate and the overall pattern of evidence rather than significance alone. A fourth cohort study (Desai et al. 2018) </w:t>
      </w:r>
      <w:r w:rsidR="00CC2FA3" w:rsidRPr="004B546E">
        <w:rPr>
          <w:rFonts w:ascii="Times New Roman" w:hAnsi="Times New Roman" w:cs="Times New Roman" w:hint="eastAsia"/>
          <w:color w:val="000000" w:themeColor="text1"/>
        </w:rPr>
        <w:t>[</w:t>
      </w:r>
      <w:r w:rsidR="009D6FE2" w:rsidRPr="004B546E">
        <w:rPr>
          <w:rFonts w:ascii="Times New Roman" w:hAnsi="Times New Roman" w:cs="Times New Roman"/>
          <w:color w:val="000000" w:themeColor="text1"/>
        </w:rPr>
        <w:t>15</w:t>
      </w:r>
      <w:r w:rsidR="00CC2FA3" w:rsidRPr="004B546E">
        <w:rPr>
          <w:rFonts w:ascii="Times New Roman" w:hAnsi="Times New Roman" w:cs="Times New Roman" w:hint="eastAsia"/>
          <w:color w:val="000000" w:themeColor="text1"/>
        </w:rPr>
        <w:t>]</w:t>
      </w:r>
      <w:r w:rsidR="00CC2FA3"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was eligible by outcome but excluded from primary pooling due to selection bias and catheter length confounding.</w:t>
      </w:r>
      <w:r w:rsidR="00CC2FA3" w:rsidRPr="004B546E">
        <w:rPr>
          <w:rFonts w:ascii="Times New Roman" w:hAnsi="Times New Roman" w:cs="Times New Roman" w:hint="eastAsia"/>
          <w:color w:val="000000" w:themeColor="text1"/>
        </w:rPr>
        <w:t xml:space="preserve"> </w:t>
      </w:r>
      <w:r w:rsidRPr="004B546E">
        <w:rPr>
          <w:rFonts w:ascii="Times New Roman" w:hAnsi="Times New Roman" w:cs="Times New Roman"/>
          <w:color w:val="000000" w:themeColor="text1"/>
        </w:rPr>
        <w:t>Leave-one-out sensitivity analysis demonstrated that removing Kleidon et al. (2025)</w:t>
      </w:r>
      <w:r w:rsidR="00873B0E"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the only paediatric study in this pool</w:t>
      </w:r>
      <w:r w:rsidR="00593274"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shifted the estimate to RR 1.28 (95% CI 1.02–1.60; p = 0.032), while removing Saltarelli et al. (2015)</w:t>
      </w:r>
      <w:r w:rsidR="00CC2FA3" w:rsidRPr="004B546E">
        <w:rPr>
          <w:rFonts w:ascii="Times New Roman" w:hAnsi="Times New Roman" w:cs="Times New Roman" w:hint="eastAsia"/>
          <w:color w:val="000000" w:themeColor="text1"/>
        </w:rPr>
        <w:t xml:space="preserve"> [</w:t>
      </w:r>
      <w:r w:rsidR="008517E2" w:rsidRPr="004B546E">
        <w:rPr>
          <w:rFonts w:ascii="Times New Roman" w:hAnsi="Times New Roman" w:cs="Times New Roman"/>
          <w:color w:val="000000" w:themeColor="text1"/>
        </w:rPr>
        <w:t>26</w:t>
      </w:r>
      <w:r w:rsidR="00CC2FA3"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the largest contributor at 49.8% random-effects weight, attenuated the estimate to RR 1.18 (95% CI 0.88–1.58; p = 0.28); the borderline catheter-failure result therefore depends substantially on the largest single study (</w:t>
      </w:r>
      <w:r w:rsidR="00220576" w:rsidRPr="004B546E">
        <w:rPr>
          <w:rFonts w:ascii="Times New Roman" w:hAnsi="Times New Roman" w:cs="Times New Roman"/>
          <w:color w:val="000000" w:themeColor="text1"/>
        </w:rPr>
        <w:t>see Supplementary Material S</w:t>
      </w:r>
      <w:r w:rsidR="00220576" w:rsidRPr="004B546E">
        <w:rPr>
          <w:rFonts w:ascii="Times New Roman" w:hAnsi="Times New Roman" w:cs="Times New Roman"/>
          <w:color w:val="000000" w:themeColor="text1"/>
        </w:rPr>
        <w:t>4</w:t>
      </w:r>
      <w:r w:rsidRPr="004B546E">
        <w:rPr>
          <w:rFonts w:ascii="Times New Roman" w:hAnsi="Times New Roman" w:cs="Times New Roman"/>
          <w:b/>
          <w:bCs/>
          <w:color w:val="000000" w:themeColor="text1"/>
        </w:rPr>
        <w:t>: leave-one-out for catheter failure</w:t>
      </w:r>
      <w:r w:rsidRPr="004B546E">
        <w:rPr>
          <w:rFonts w:ascii="Times New Roman" w:hAnsi="Times New Roman" w:cs="Times New Roman"/>
          <w:color w:val="000000" w:themeColor="text1"/>
        </w:rPr>
        <w:t>).</w:t>
      </w:r>
    </w:p>
    <w:p w14:paraId="79589C00" w14:textId="77777777" w:rsidR="00853180" w:rsidRPr="004B546E" w:rsidRDefault="00853180" w:rsidP="00853180">
      <w:pPr>
        <w:rPr>
          <w:rFonts w:ascii="Times New Roman" w:hAnsi="Times New Roman" w:cs="Times New Roman"/>
          <w:color w:val="000000" w:themeColor="text1"/>
        </w:rPr>
      </w:pPr>
      <w:r w:rsidRPr="004B546E">
        <w:rPr>
          <w:rFonts w:ascii="Times New Roman" w:hAnsi="Times New Roman" w:cs="Times New Roman"/>
          <w:color w:val="000000" w:themeColor="text1"/>
        </w:rPr>
        <w:t>A post-hoc design-stratified analysis showed that the catheter-failure signal arose primarily from the cohort studies (k = 2; RR 1.29, 95% CI 1.02–1.63; p = 0.036), whereas the RCT-only estimate was essentially flat (k = 2; RR 1.03, 95% CI 0.66–1.61; p = 0.88). The design-by-effect interaction test was non-significant (p = 0.37); with only 2 studies in each design tier this comparison is severely underpowered. This pattern suggests that the overall estimate is influenced more by the cohort studies than by the RCTs.</w:t>
      </w:r>
    </w:p>
    <w:p w14:paraId="5765A801" w14:textId="5D45D0DA" w:rsidR="00853180" w:rsidRPr="004B546E" w:rsidRDefault="00853180"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Primary Outcome: Dwell Time</w:t>
      </w:r>
    </w:p>
    <w:p w14:paraId="71EB1FE0" w14:textId="28ED8695" w:rsidR="00853180" w:rsidRPr="004B546E" w:rsidRDefault="00853180"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 xml:space="preserve">Three studies reported dwell time in formats suitable for pooling (Kleidon et al., 2025; Leroux et al., 2023; Cottrell et al., 2021). However, pooling was precluded by substantial heterogeneity (I² = 91.9%; </w:t>
      </w:r>
      <w:r w:rsidRPr="004B546E">
        <w:rPr>
          <w:rFonts w:ascii="Times New Roman" w:hAnsi="Times New Roman" w:cs="Times New Roman"/>
          <w:b/>
          <w:bCs/>
          <w:color w:val="000000" w:themeColor="text1"/>
        </w:rPr>
        <w:t xml:space="preserve">Figure </w:t>
      </w:r>
      <w:r w:rsidR="00B5622F" w:rsidRPr="004B546E">
        <w:rPr>
          <w:rFonts w:ascii="Times New Roman" w:hAnsi="Times New Roman" w:cs="Times New Roman"/>
          <w:b/>
          <w:bCs/>
          <w:color w:val="000000" w:themeColor="text1"/>
        </w:rPr>
        <w:t>4</w:t>
      </w:r>
      <w:r w:rsidRPr="004B546E">
        <w:rPr>
          <w:rFonts w:ascii="Times New Roman" w:hAnsi="Times New Roman" w:cs="Times New Roman"/>
          <w:color w:val="000000" w:themeColor="text1"/>
        </w:rPr>
        <w:t>). Kleidon et al. reported no difference (median 47.1 vs. 47.7 hours), Leroux et al. similarly found no difference (mean 23.5 vs. 24.7 hours; p = 0.808), while Cottrell et al. reported a significant 36.7-hour advantage favouring USG (mean 96.</w:t>
      </w:r>
      <w:r w:rsidR="006E2162" w:rsidRPr="004B546E">
        <w:rPr>
          <w:rFonts w:ascii="Times New Roman" w:hAnsi="Times New Roman" w:cs="Times New Roman"/>
          <w:color w:val="000000" w:themeColor="text1"/>
        </w:rPr>
        <w:t>06</w:t>
      </w:r>
      <w:r w:rsidRPr="004B546E">
        <w:rPr>
          <w:rFonts w:ascii="Times New Roman" w:hAnsi="Times New Roman" w:cs="Times New Roman"/>
          <w:color w:val="000000" w:themeColor="text1"/>
        </w:rPr>
        <w:t xml:space="preserve"> vs. 59.</w:t>
      </w:r>
      <w:r w:rsidR="006E2162" w:rsidRPr="004B546E">
        <w:rPr>
          <w:rFonts w:ascii="Times New Roman" w:hAnsi="Times New Roman" w:cs="Times New Roman"/>
          <w:color w:val="000000" w:themeColor="text1"/>
        </w:rPr>
        <w:t>39</w:t>
      </w:r>
      <w:r w:rsidRPr="004B546E">
        <w:rPr>
          <w:rFonts w:ascii="Times New Roman" w:hAnsi="Times New Roman" w:cs="Times New Roman"/>
          <w:color w:val="000000" w:themeColor="text1"/>
        </w:rPr>
        <w:t xml:space="preserve"> hours; p &lt; 0.001)</w:t>
      </w:r>
      <w:r w:rsidR="0097046A" w:rsidRPr="004B546E">
        <w:rPr>
          <w:rFonts w:ascii="Times New Roman" w:hAnsi="Times New Roman" w:cs="Times New Roman"/>
          <w:color w:val="000000" w:themeColor="text1"/>
        </w:rPr>
        <w:t xml:space="preserve"> (</w:t>
      </w:r>
      <w:r w:rsidR="0097046A" w:rsidRPr="004B546E">
        <w:rPr>
          <w:rFonts w:ascii="Times New Roman" w:hAnsi="Times New Roman" w:cs="Times New Roman"/>
          <w:b/>
          <w:bCs/>
          <w:color w:val="000000" w:themeColor="text1"/>
        </w:rPr>
        <w:t xml:space="preserve">Figure </w:t>
      </w:r>
      <w:r w:rsidR="00B5622F" w:rsidRPr="004B546E">
        <w:rPr>
          <w:rFonts w:ascii="Times New Roman" w:hAnsi="Times New Roman" w:cs="Times New Roman"/>
          <w:b/>
          <w:bCs/>
          <w:color w:val="000000" w:themeColor="text1"/>
        </w:rPr>
        <w:t>4</w:t>
      </w:r>
      <w:r w:rsidR="0097046A"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The conflicting results likely reflect differences in populations, operator expertise, and clinical context: Cottrell et al. studied a specialised vascular access team with extensive USG experience in a paediatric setting, where USG may confer particular advantages due to the unique challenges of paediatric venous access. Narrative synthesis of these three unconfounded studies suggests that any dwell time benefit of USG may be setting-dependent and operator-dependent rather than a generalisable effect of the guidance modality. Two additional studies reporting dwell time (Refosco 202</w:t>
      </w:r>
      <w:r w:rsidR="003213B6" w:rsidRPr="004B546E">
        <w:rPr>
          <w:rFonts w:ascii="Times New Roman" w:hAnsi="Times New Roman" w:cs="Times New Roman" w:hint="eastAsia"/>
          <w:color w:val="000000" w:themeColor="text1"/>
        </w:rPr>
        <w:t>5</w:t>
      </w:r>
      <w:r w:rsidRPr="004B546E">
        <w:rPr>
          <w:rFonts w:ascii="Times New Roman" w:hAnsi="Times New Roman" w:cs="Times New Roman"/>
          <w:color w:val="000000" w:themeColor="text1"/>
        </w:rPr>
        <w:t xml:space="preserve">, Desai 2018) </w:t>
      </w:r>
      <w:r w:rsidR="00CC2FA3" w:rsidRPr="004B546E">
        <w:rPr>
          <w:rFonts w:ascii="Times New Roman" w:hAnsi="Times New Roman" w:cs="Times New Roman" w:hint="eastAsia"/>
          <w:color w:val="000000" w:themeColor="text1"/>
        </w:rPr>
        <w:t>[</w:t>
      </w:r>
      <w:r w:rsidR="008517E2" w:rsidRPr="004B546E">
        <w:rPr>
          <w:rFonts w:ascii="Times New Roman" w:hAnsi="Times New Roman" w:cs="Times New Roman"/>
          <w:color w:val="000000" w:themeColor="text1"/>
        </w:rPr>
        <w:t>14. 24</w:t>
      </w:r>
      <w:r w:rsidR="00CC2FA3" w:rsidRPr="004B546E">
        <w:rPr>
          <w:rFonts w:ascii="Times New Roman" w:hAnsi="Times New Roman" w:cs="Times New Roman" w:hint="eastAsia"/>
          <w:color w:val="000000" w:themeColor="text1"/>
        </w:rPr>
        <w:t>]</w:t>
      </w:r>
      <w:r w:rsidR="00CC2FA3"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were excluded from this analysis due to catheter length confounding.</w:t>
      </w:r>
    </w:p>
    <w:p w14:paraId="6432DBB2" w14:textId="2B6CB360" w:rsidR="00853180" w:rsidRPr="004B546E" w:rsidRDefault="00853180"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Secondary Outcome: Infiltration</w:t>
      </w:r>
    </w:p>
    <w:p w14:paraId="0E23174E" w14:textId="052D5236" w:rsidR="00853180" w:rsidRPr="004B546E" w:rsidRDefault="00853180"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Two studies reported infiltration rates (Varghese et al., 2025</w:t>
      </w:r>
      <w:r w:rsidR="0005038C" w:rsidRPr="004B546E">
        <w:rPr>
          <w:rFonts w:ascii="Times New Roman" w:hAnsi="Times New Roman" w:cs="Times New Roman" w:hint="eastAsia"/>
          <w:color w:val="000000" w:themeColor="text1"/>
        </w:rPr>
        <w:t xml:space="preserve"> [</w:t>
      </w:r>
      <w:r w:rsidR="008517E2" w:rsidRPr="004B546E">
        <w:rPr>
          <w:rFonts w:ascii="Times New Roman" w:hAnsi="Times New Roman" w:cs="Times New Roman"/>
          <w:color w:val="000000" w:themeColor="text1"/>
        </w:rPr>
        <w:t>17</w:t>
      </w:r>
      <w:r w:rsidR="0005038C"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Saltarelli et al., 2015</w:t>
      </w:r>
      <w:r w:rsidR="0005038C" w:rsidRPr="004B546E">
        <w:rPr>
          <w:rFonts w:ascii="Times New Roman" w:hAnsi="Times New Roman" w:cs="Times New Roman"/>
          <w:color w:val="000000" w:themeColor="text1"/>
        </w:rPr>
        <w:t xml:space="preserve"> </w:t>
      </w:r>
      <w:r w:rsidR="0005038C" w:rsidRPr="004B546E">
        <w:rPr>
          <w:rFonts w:ascii="Times New Roman" w:hAnsi="Times New Roman" w:cs="Times New Roman" w:hint="eastAsia"/>
          <w:color w:val="000000" w:themeColor="text1"/>
        </w:rPr>
        <w:t>[</w:t>
      </w:r>
      <w:r w:rsidR="008517E2" w:rsidRPr="004B546E">
        <w:rPr>
          <w:rFonts w:ascii="Times New Roman" w:hAnsi="Times New Roman" w:cs="Times New Roman"/>
          <w:color w:val="000000" w:themeColor="text1"/>
        </w:rPr>
        <w:t>26]</w:t>
      </w:r>
      <w:r w:rsidRPr="004B546E">
        <w:rPr>
          <w:rFonts w:ascii="Times New Roman" w:hAnsi="Times New Roman" w:cs="Times New Roman"/>
          <w:color w:val="000000" w:themeColor="text1"/>
        </w:rPr>
        <w:t>. The pooled RR was 0.68 (95% CI 0.12–3.83; p = 0.67; I</w:t>
      </w:r>
      <w:r w:rsidRPr="004B546E">
        <w:rPr>
          <w:rFonts w:ascii="Times New Roman" w:hAnsi="Times New Roman" w:cs="Times New Roman"/>
          <w:color w:val="000000" w:themeColor="text1"/>
          <w:vertAlign w:val="superscript"/>
        </w:rPr>
        <w:t>2</w:t>
      </w:r>
      <w:r w:rsidRPr="004B546E">
        <w:rPr>
          <w:rFonts w:ascii="Times New Roman" w:hAnsi="Times New Roman" w:cs="Times New Roman"/>
          <w:color w:val="000000" w:themeColor="text1"/>
        </w:rPr>
        <w:t xml:space="preserve"> = 65.9%), indicating no significant difference with moderate-to-substantial heterogeneity (</w:t>
      </w:r>
      <w:r w:rsidRPr="004B546E">
        <w:rPr>
          <w:rFonts w:ascii="Times New Roman" w:hAnsi="Times New Roman" w:cs="Times New Roman"/>
          <w:b/>
          <w:bCs/>
          <w:color w:val="000000" w:themeColor="text1"/>
        </w:rPr>
        <w:t>Figure 4</w:t>
      </w:r>
      <w:r w:rsidRPr="004B546E">
        <w:rPr>
          <w:rFonts w:ascii="Times New Roman" w:hAnsi="Times New Roman" w:cs="Times New Roman"/>
          <w:color w:val="000000" w:themeColor="text1"/>
        </w:rPr>
        <w:t>). Notably, the two studies reported conflicting directions: Varghese et al. found a non-significant trend favouring USG (2.22% vs. 11.11%; p = 0.0</w:t>
      </w:r>
      <w:r w:rsidR="00DC752A" w:rsidRPr="004B546E">
        <w:rPr>
          <w:rFonts w:ascii="Times New Roman" w:hAnsi="Times New Roman" w:cs="Times New Roman"/>
          <w:color w:val="000000" w:themeColor="text1"/>
        </w:rPr>
        <w:t>9</w:t>
      </w:r>
      <w:r w:rsidRPr="004B546E">
        <w:rPr>
          <w:rFonts w:ascii="Times New Roman" w:hAnsi="Times New Roman" w:cs="Times New Roman"/>
          <w:color w:val="000000" w:themeColor="text1"/>
        </w:rPr>
        <w:t>)</w:t>
      </w:r>
      <w:r w:rsidR="00DD5C2F" w:rsidRPr="004B546E">
        <w:rPr>
          <w:rFonts w:ascii="Times New Roman" w:hAnsi="Times New Roman" w:cs="Times New Roman"/>
          <w:color w:val="000000" w:themeColor="text1"/>
        </w:rPr>
        <w:t xml:space="preserve"> </w:t>
      </w:r>
      <w:r w:rsidR="00DD5C2F" w:rsidRPr="004B546E">
        <w:rPr>
          <w:rFonts w:ascii="Times New Roman" w:hAnsi="Times New Roman" w:cs="Times New Roman" w:hint="eastAsia"/>
          <w:color w:val="000000" w:themeColor="text1"/>
        </w:rPr>
        <w:t>[</w:t>
      </w:r>
      <w:r w:rsidR="008517E2" w:rsidRPr="004B546E">
        <w:rPr>
          <w:rFonts w:ascii="Times New Roman" w:hAnsi="Times New Roman" w:cs="Times New Roman"/>
          <w:color w:val="000000" w:themeColor="text1"/>
        </w:rPr>
        <w:t>17</w:t>
      </w:r>
      <w:r w:rsidR="00DD5C2F"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while Saltarelli et al. reported a non-significant trend against USG (7.6% vs. 5.9%; OR 1.31, 95% CI 0.92–1.88)</w:t>
      </w:r>
      <w:r w:rsidR="00805C28" w:rsidRPr="004B546E">
        <w:rPr>
          <w:color w:val="000000" w:themeColor="text1"/>
        </w:rPr>
        <w:t xml:space="preserve"> </w:t>
      </w:r>
      <w:r w:rsidR="00DD5C2F" w:rsidRPr="004B546E">
        <w:rPr>
          <w:rFonts w:ascii="Times New Roman" w:hAnsi="Times New Roman" w:cs="Times New Roman" w:hint="eastAsia"/>
          <w:color w:val="000000" w:themeColor="text1"/>
        </w:rPr>
        <w:t>[</w:t>
      </w:r>
      <w:r w:rsidR="008517E2" w:rsidRPr="004B546E">
        <w:rPr>
          <w:rFonts w:ascii="Times New Roman" w:hAnsi="Times New Roman" w:cs="Times New Roman"/>
          <w:color w:val="000000" w:themeColor="text1"/>
        </w:rPr>
        <w:t>26</w:t>
      </w:r>
      <w:r w:rsidR="00DD5C2F" w:rsidRPr="004B546E">
        <w:rPr>
          <w:rFonts w:ascii="Times New Roman" w:hAnsi="Times New Roman" w:cs="Times New Roman" w:hint="eastAsia"/>
          <w:color w:val="000000" w:themeColor="text1"/>
        </w:rPr>
        <w:t>]</w:t>
      </w:r>
      <w:r w:rsidR="00DD5C2F" w:rsidRPr="004B546E">
        <w:rPr>
          <w:rFonts w:ascii="Times New Roman" w:hAnsi="Times New Roman" w:cs="Times New Roman"/>
          <w:color w:val="000000" w:themeColor="text1"/>
        </w:rPr>
        <w:t xml:space="preserve"> </w:t>
      </w:r>
      <w:r w:rsidR="00805C28" w:rsidRPr="004B546E">
        <w:rPr>
          <w:rFonts w:ascii="Times New Roman" w:hAnsi="Times New Roman" w:cs="Times New Roman"/>
          <w:color w:val="000000" w:themeColor="text1"/>
        </w:rPr>
        <w:t>(</w:t>
      </w:r>
      <w:r w:rsidR="00805C28" w:rsidRPr="004B546E">
        <w:rPr>
          <w:rFonts w:ascii="Times New Roman" w:hAnsi="Times New Roman" w:cs="Times New Roman"/>
          <w:b/>
          <w:bCs/>
          <w:color w:val="000000" w:themeColor="text1"/>
        </w:rPr>
        <w:t xml:space="preserve">Figure </w:t>
      </w:r>
      <w:r w:rsidR="00B5622F" w:rsidRPr="004B546E">
        <w:rPr>
          <w:rFonts w:ascii="Times New Roman" w:hAnsi="Times New Roman" w:cs="Times New Roman"/>
          <w:b/>
          <w:bCs/>
          <w:color w:val="000000" w:themeColor="text1"/>
        </w:rPr>
        <w:t>5</w:t>
      </w:r>
      <w:r w:rsidR="00805C28"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w:t>
      </w:r>
    </w:p>
    <w:p w14:paraId="7341C46E" w14:textId="1ECAC306" w:rsidR="00853180" w:rsidRPr="004B546E" w:rsidRDefault="00853180"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Secondary Outcome: Extravasation</w:t>
      </w:r>
    </w:p>
    <w:p w14:paraId="3D199989" w14:textId="0F0410A5" w:rsidR="00853180" w:rsidRPr="004B546E" w:rsidRDefault="00853180"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Three studies reported extravasation events (Bridey et al. 2018, Favot et al. 2019, Nishizawa et al. 2020)</w:t>
      </w:r>
      <w:r w:rsidR="00795F94" w:rsidRPr="004B546E">
        <w:rPr>
          <w:rFonts w:ascii="Times New Roman" w:hAnsi="Times New Roman" w:cs="Times New Roman"/>
          <w:color w:val="000000" w:themeColor="text1"/>
        </w:rPr>
        <w:t xml:space="preserve"> [</w:t>
      </w:r>
      <w:r w:rsidR="007E3934" w:rsidRPr="004B546E">
        <w:rPr>
          <w:rFonts w:ascii="Times New Roman" w:hAnsi="Times New Roman" w:cs="Times New Roman"/>
          <w:color w:val="000000" w:themeColor="text1"/>
        </w:rPr>
        <w:t>15, 16, 25</w:t>
      </w:r>
      <w:r w:rsidR="00795F94"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however, the fundamental incompatibility of their populations and outcome definitions precludes any meaningful pooled inference, and individual study results are the primary informative unit. Bridey et al. found extravasation as a reason for catheter removal in 34% of USG versus 18% of landmark catheters (p = 0.094) in an adult ICU setting</w:t>
      </w:r>
      <w:r w:rsidR="00975A85" w:rsidRPr="004B546E">
        <w:rPr>
          <w:rFonts w:ascii="Times New Roman" w:hAnsi="Times New Roman" w:cs="Times New Roman"/>
          <w:color w:val="000000" w:themeColor="text1"/>
        </w:rPr>
        <w:t xml:space="preserve"> </w:t>
      </w:r>
      <w:r w:rsidR="004D1E8B" w:rsidRPr="004B546E">
        <w:rPr>
          <w:rFonts w:ascii="Times New Roman" w:hAnsi="Times New Roman" w:cs="Times New Roman"/>
          <w:color w:val="000000" w:themeColor="text1"/>
        </w:rPr>
        <w:t>(</w:t>
      </w:r>
      <w:r w:rsidR="00975A85" w:rsidRPr="004B546E">
        <w:rPr>
          <w:rFonts w:ascii="Times New Roman" w:hAnsi="Times New Roman" w:cs="Times New Roman"/>
          <w:b/>
          <w:bCs/>
          <w:color w:val="000000" w:themeColor="text1"/>
        </w:rPr>
        <w:t>Supplementary figure 1</w:t>
      </w:r>
      <w:r w:rsidR="004D1E8B" w:rsidRPr="004B546E">
        <w:rPr>
          <w:rFonts w:ascii="Times New Roman" w:hAnsi="Times New Roman" w:cs="Times New Roman"/>
          <w:color w:val="000000" w:themeColor="text1"/>
        </w:rPr>
        <w:t>) [</w:t>
      </w:r>
      <w:r w:rsidR="0043668C" w:rsidRPr="004B546E">
        <w:rPr>
          <w:rFonts w:ascii="Times New Roman" w:hAnsi="Times New Roman" w:cs="Times New Roman"/>
          <w:color w:val="000000" w:themeColor="text1"/>
        </w:rPr>
        <w:t>16</w:t>
      </w:r>
      <w:r w:rsidR="004D1E8B"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Favot et al. reported contrast extravasation rates of 4.1% with USG versus 0.21% with standard PIVCs (RR 19.4, 95% CI 10.6–35.6), confined to a highly specific high-pressure CT contrast injection context</w:t>
      </w:r>
      <w:r w:rsidR="004D1E8B" w:rsidRPr="004B546E">
        <w:rPr>
          <w:rFonts w:ascii="Times New Roman" w:hAnsi="Times New Roman" w:cs="Times New Roman"/>
          <w:color w:val="000000" w:themeColor="text1"/>
        </w:rPr>
        <w:t xml:space="preserve"> (</w:t>
      </w:r>
      <w:r w:rsidR="004D1E8B" w:rsidRPr="004B546E">
        <w:rPr>
          <w:rFonts w:ascii="Times New Roman" w:hAnsi="Times New Roman" w:cs="Times New Roman"/>
          <w:b/>
          <w:bCs/>
          <w:color w:val="000000" w:themeColor="text1"/>
        </w:rPr>
        <w:t>Supplementary figure 1</w:t>
      </w:r>
      <w:r w:rsidR="004D1E8B" w:rsidRPr="004B546E">
        <w:rPr>
          <w:rFonts w:ascii="Times New Roman" w:hAnsi="Times New Roman" w:cs="Times New Roman"/>
          <w:color w:val="000000" w:themeColor="text1"/>
        </w:rPr>
        <w:t>) [</w:t>
      </w:r>
      <w:r w:rsidR="0043668C" w:rsidRPr="004B546E">
        <w:rPr>
          <w:rFonts w:ascii="Times New Roman" w:hAnsi="Times New Roman" w:cs="Times New Roman"/>
          <w:color w:val="000000" w:themeColor="text1"/>
        </w:rPr>
        <w:t>25</w:t>
      </w:r>
      <w:r w:rsidR="004D1E8B"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Nishizawa et al. reported a directionally opposite finding (13.6% vs 28.5%, p = 0.394) in a small ICU RCT</w:t>
      </w:r>
      <w:r w:rsidR="002E7312" w:rsidRPr="004B546E">
        <w:rPr>
          <w:rFonts w:ascii="Times New Roman" w:hAnsi="Times New Roman" w:cs="Times New Roman"/>
          <w:color w:val="000000" w:themeColor="text1"/>
        </w:rPr>
        <w:t xml:space="preserve"> (</w:t>
      </w:r>
      <w:r w:rsidR="002E7312" w:rsidRPr="004B546E">
        <w:rPr>
          <w:rFonts w:ascii="Times New Roman" w:hAnsi="Times New Roman" w:cs="Times New Roman"/>
          <w:b/>
          <w:bCs/>
          <w:color w:val="000000" w:themeColor="text1"/>
        </w:rPr>
        <w:t>Supplementary figure 1</w:t>
      </w:r>
      <w:r w:rsidR="002E7312" w:rsidRPr="004B546E">
        <w:rPr>
          <w:rFonts w:ascii="Times New Roman" w:hAnsi="Times New Roman" w:cs="Times New Roman"/>
          <w:color w:val="000000" w:themeColor="text1"/>
        </w:rPr>
        <w:t>)</w:t>
      </w:r>
      <w:r w:rsidR="0047063C" w:rsidRPr="004B546E">
        <w:rPr>
          <w:rFonts w:ascii="Times New Roman" w:hAnsi="Times New Roman" w:cs="Times New Roman"/>
          <w:color w:val="000000" w:themeColor="text1"/>
        </w:rPr>
        <w:t xml:space="preserve"> </w:t>
      </w:r>
      <w:r w:rsidR="0047063C" w:rsidRPr="004B546E">
        <w:rPr>
          <w:rFonts w:ascii="Times New Roman" w:hAnsi="Times New Roman" w:cs="Times New Roman" w:hint="eastAsia"/>
          <w:color w:val="000000" w:themeColor="text1"/>
        </w:rPr>
        <w:t>[</w:t>
      </w:r>
      <w:r w:rsidR="0043668C" w:rsidRPr="004B546E">
        <w:rPr>
          <w:rFonts w:ascii="Times New Roman" w:hAnsi="Times New Roman" w:cs="Times New Roman"/>
          <w:color w:val="000000" w:themeColor="text1"/>
        </w:rPr>
        <w:t>15</w:t>
      </w:r>
      <w:r w:rsidR="0047063C"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A formal meta-analytic pooling was performed for completeness and yielded an uninterpretable summary estimate (RR 2.75, 95% CI 0.29–26.28; I²=95.7%), confirming statistical incompatibility; this figure should not be read as a meaningful effect estimate</w:t>
      </w:r>
      <w:r w:rsidR="00805C28" w:rsidRPr="004B546E">
        <w:rPr>
          <w:rFonts w:ascii="Times New Roman" w:hAnsi="Times New Roman" w:cs="Times New Roman"/>
          <w:color w:val="000000" w:themeColor="text1"/>
        </w:rPr>
        <w:t xml:space="preserve"> </w:t>
      </w:r>
      <w:r w:rsidR="00C00D43" w:rsidRPr="004B546E">
        <w:rPr>
          <w:rFonts w:ascii="Times New Roman" w:hAnsi="Times New Roman" w:cs="Times New Roman"/>
          <w:color w:val="000000" w:themeColor="text1"/>
        </w:rPr>
        <w:t>(</w:t>
      </w:r>
      <w:r w:rsidR="00C00D43" w:rsidRPr="004B546E">
        <w:rPr>
          <w:rFonts w:ascii="Times New Roman" w:hAnsi="Times New Roman" w:cs="Times New Roman"/>
          <w:b/>
          <w:bCs/>
          <w:color w:val="000000" w:themeColor="text1"/>
        </w:rPr>
        <w:t>Supplementary figure 1</w:t>
      </w:r>
      <w:r w:rsidR="00C00D43"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w:t>
      </w:r>
    </w:p>
    <w:p w14:paraId="1A23F410" w14:textId="18F044D7" w:rsidR="00853180" w:rsidRPr="004B546E" w:rsidRDefault="00853180"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Time-to-event-adjacent estimates (not pooled)</w:t>
      </w:r>
    </w:p>
    <w:p w14:paraId="7056D4BD" w14:textId="3A4AE714" w:rsidR="00853180" w:rsidRPr="004B546E" w:rsidRDefault="00853180"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Two studies reported effect estimates with a time-to-event component but using different statistical metrics, precluding meaningful meta-analytic pooling. Feinsmith et al. (2021) reported an adjusted hazard ratio (HR) of 0.91 (95% CI 0.87–0.95) favouring USG for catheter survival at 30 days, derived from a multivariable Cox proportional hazards model</w:t>
      </w:r>
      <w:r w:rsidR="008B3960" w:rsidRPr="004B546E">
        <w:rPr>
          <w:rFonts w:ascii="Times New Roman" w:hAnsi="Times New Roman" w:cs="Times New Roman"/>
          <w:color w:val="000000" w:themeColor="text1"/>
        </w:rPr>
        <w:t xml:space="preserve"> (</w:t>
      </w:r>
      <w:r w:rsidR="008B3960" w:rsidRPr="004B546E">
        <w:rPr>
          <w:rFonts w:ascii="Times New Roman" w:hAnsi="Times New Roman" w:cs="Times New Roman"/>
          <w:b/>
          <w:bCs/>
          <w:color w:val="000000" w:themeColor="text1"/>
        </w:rPr>
        <w:t>Figure 6</w:t>
      </w:r>
      <w:r w:rsidR="008B3960"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Shokoohi et al. (2019) reported a premature removal risk ratio (RR) of 1.26 (95% CI 0.88–1.80) trending against USG at a fixed 72-hour follow-up window</w:t>
      </w:r>
      <w:r w:rsidR="00593274"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a cumulative-incidence ratio rather than a hazard ratio</w:t>
      </w:r>
      <w:r w:rsidR="00805C28" w:rsidRPr="004B546E">
        <w:rPr>
          <w:rFonts w:ascii="Times New Roman" w:hAnsi="Times New Roman" w:cs="Times New Roman"/>
          <w:color w:val="000000" w:themeColor="text1"/>
        </w:rPr>
        <w:t xml:space="preserve"> (</w:t>
      </w:r>
      <w:r w:rsidR="00805C28" w:rsidRPr="004B546E">
        <w:rPr>
          <w:rFonts w:ascii="Times New Roman" w:hAnsi="Times New Roman" w:cs="Times New Roman"/>
          <w:b/>
          <w:bCs/>
          <w:color w:val="000000" w:themeColor="text1"/>
        </w:rPr>
        <w:t>Figure 6</w:t>
      </w:r>
      <w:r w:rsidR="00805C28"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Notably, the Feinsmith et al. Kaplan-Meier analysis revealed a time-dependent pattern: USG catheters performed slightly worse at 24 hours (survival 0.82 vs. 0.86) but better at 72 hours and beyond (survival 0.61 vs. 0.57)</w:t>
      </w:r>
      <w:r w:rsidR="00E92FA0" w:rsidRPr="004B546E">
        <w:rPr>
          <w:rFonts w:ascii="Times New Roman" w:hAnsi="Times New Roman" w:cs="Times New Roman"/>
          <w:color w:val="000000" w:themeColor="text1"/>
        </w:rPr>
        <w:t xml:space="preserve"> (</w:t>
      </w:r>
      <w:r w:rsidR="00E92FA0" w:rsidRPr="004B546E">
        <w:rPr>
          <w:rFonts w:ascii="Times New Roman" w:hAnsi="Times New Roman" w:cs="Times New Roman"/>
          <w:b/>
          <w:bCs/>
          <w:color w:val="000000" w:themeColor="text1"/>
        </w:rPr>
        <w:t>Figure 6</w:t>
      </w:r>
      <w:r w:rsidR="00E92FA0"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suggesting that initial vulnerability may be offset by longer-term durability in selected cases</w:t>
      </w:r>
      <w:r w:rsidR="00593274"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a pattern that may also help explain why the 72-hour Shokoohi RR trends in the opposite direction from the 30-day Feinsmith adjusted HR</w:t>
      </w:r>
      <w:r w:rsidR="00805C28" w:rsidRPr="004B546E">
        <w:rPr>
          <w:rFonts w:ascii="Times New Roman" w:hAnsi="Times New Roman" w:cs="Times New Roman"/>
          <w:color w:val="000000" w:themeColor="text1"/>
        </w:rPr>
        <w:t>V</w:t>
      </w:r>
      <w:r w:rsidR="004C3115" w:rsidRPr="004B546E">
        <w:rPr>
          <w:rFonts w:ascii="Times New Roman" w:hAnsi="Times New Roman" w:cs="Times New Roman"/>
          <w:color w:val="000000" w:themeColor="text1"/>
        </w:rPr>
        <w:t xml:space="preserve"> [</w:t>
      </w:r>
      <w:r w:rsidR="0043668C" w:rsidRPr="004B546E">
        <w:rPr>
          <w:rFonts w:ascii="Times New Roman" w:hAnsi="Times New Roman" w:cs="Times New Roman"/>
          <w:color w:val="000000" w:themeColor="text1"/>
        </w:rPr>
        <w:t>19, 20</w:t>
      </w:r>
      <w:r w:rsidR="004C3115"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w:t>
      </w:r>
    </w:p>
    <w:p w14:paraId="4E2C4913" w14:textId="547309BC" w:rsidR="00853180" w:rsidRPr="004B546E" w:rsidRDefault="00853180"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Subgroup and Sensitivity Analyses</w:t>
      </w:r>
    </w:p>
    <w:p w14:paraId="13FC45D5" w14:textId="77777777" w:rsidR="00853180" w:rsidRPr="004B546E" w:rsidRDefault="00853180"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Adult vs. Paediatric Subgroup (Catheter Failure)</w:t>
      </w:r>
    </w:p>
    <w:p w14:paraId="047B5A81" w14:textId="68F52CF5" w:rsidR="00853180" w:rsidRPr="004B546E" w:rsidRDefault="00853180" w:rsidP="00853180">
      <w:pPr>
        <w:rPr>
          <w:rFonts w:ascii="Times New Roman" w:hAnsi="Times New Roman" w:cs="Times New Roman"/>
          <w:color w:val="000000" w:themeColor="text1"/>
        </w:rPr>
      </w:pPr>
      <w:r w:rsidRPr="004B546E">
        <w:rPr>
          <w:rFonts w:ascii="Times New Roman" w:hAnsi="Times New Roman" w:cs="Times New Roman"/>
          <w:color w:val="000000" w:themeColor="text1"/>
        </w:rPr>
        <w:t>Among adult studies (k = 3), the pooled RR was 1.28 (95% CI 1.02–1.60; p = 0.03), with the point estimate trending unfavourable to USG</w:t>
      </w:r>
      <w:r w:rsidR="00B6503A" w:rsidRPr="004B546E">
        <w:rPr>
          <w:rFonts w:ascii="Times New Roman" w:hAnsi="Times New Roman" w:cs="Times New Roman"/>
          <w:color w:val="000000" w:themeColor="text1"/>
        </w:rPr>
        <w:t xml:space="preserve"> </w:t>
      </w:r>
      <w:r w:rsidR="00B6503A" w:rsidRPr="004B546E">
        <w:rPr>
          <w:rFonts w:ascii="Times New Roman" w:hAnsi="Times New Roman" w:cs="Times New Roman"/>
          <w:b/>
          <w:bCs/>
          <w:color w:val="000000" w:themeColor="text1"/>
        </w:rPr>
        <w:t xml:space="preserve">(Figure </w:t>
      </w:r>
      <w:r w:rsidR="00E92FA0" w:rsidRPr="004B546E">
        <w:rPr>
          <w:rFonts w:ascii="Times New Roman" w:hAnsi="Times New Roman" w:cs="Times New Roman"/>
          <w:b/>
          <w:bCs/>
          <w:color w:val="000000" w:themeColor="text1"/>
        </w:rPr>
        <w:t>7</w:t>
      </w:r>
      <w:r w:rsidR="00B6503A" w:rsidRPr="004B546E">
        <w:rPr>
          <w:rFonts w:ascii="Times New Roman" w:hAnsi="Times New Roman" w:cs="Times New Roman"/>
          <w:b/>
          <w:bCs/>
          <w:color w:val="000000" w:themeColor="text1"/>
        </w:rPr>
        <w:t>)</w:t>
      </w:r>
      <w:r w:rsidRPr="004B546E">
        <w:rPr>
          <w:rFonts w:ascii="Times New Roman" w:hAnsi="Times New Roman" w:cs="Times New Roman"/>
          <w:color w:val="000000" w:themeColor="text1"/>
        </w:rPr>
        <w:t>. Only one paediatric study (Kleidon et al., 2025) contributed to this outcome, with RR 0.95 suggesting no difference</w:t>
      </w:r>
      <w:r w:rsidR="00B6503A" w:rsidRPr="004B546E">
        <w:rPr>
          <w:rFonts w:ascii="Times New Roman" w:hAnsi="Times New Roman" w:cs="Times New Roman"/>
          <w:color w:val="000000" w:themeColor="text1"/>
        </w:rPr>
        <w:t xml:space="preserve"> </w:t>
      </w:r>
      <w:r w:rsidR="00B6503A" w:rsidRPr="004B546E">
        <w:rPr>
          <w:rFonts w:ascii="Times New Roman" w:hAnsi="Times New Roman" w:cs="Times New Roman"/>
          <w:b/>
          <w:bCs/>
          <w:color w:val="000000" w:themeColor="text1"/>
        </w:rPr>
        <w:t xml:space="preserve">(Figure </w:t>
      </w:r>
      <w:r w:rsidR="00E92FA0" w:rsidRPr="004B546E">
        <w:rPr>
          <w:rFonts w:ascii="Times New Roman" w:hAnsi="Times New Roman" w:cs="Times New Roman"/>
          <w:b/>
          <w:bCs/>
          <w:color w:val="000000" w:themeColor="text1"/>
        </w:rPr>
        <w:t>7</w:t>
      </w:r>
      <w:r w:rsidR="00B6503A" w:rsidRPr="004B546E">
        <w:rPr>
          <w:rFonts w:ascii="Times New Roman" w:hAnsi="Times New Roman" w:cs="Times New Roman"/>
          <w:b/>
          <w:bCs/>
          <w:color w:val="000000" w:themeColor="text1"/>
        </w:rPr>
        <w:t>)</w:t>
      </w:r>
      <w:r w:rsidRPr="004B546E">
        <w:rPr>
          <w:rFonts w:ascii="Times New Roman" w:hAnsi="Times New Roman" w:cs="Times New Roman"/>
          <w:color w:val="000000" w:themeColor="text1"/>
        </w:rPr>
        <w:t>. The test for subgroup differences was not significant (p = 0.32), indicating that the observed adult-subgroup result should be interpreted as hypothesis-generating rather than confirmatory</w:t>
      </w:r>
      <w:r w:rsidR="00B6503A" w:rsidRPr="004B546E">
        <w:rPr>
          <w:rFonts w:ascii="Times New Roman" w:hAnsi="Times New Roman" w:cs="Times New Roman"/>
          <w:color w:val="000000" w:themeColor="text1"/>
        </w:rPr>
        <w:t xml:space="preserve"> </w:t>
      </w:r>
      <w:r w:rsidR="00B6503A" w:rsidRPr="004B546E">
        <w:rPr>
          <w:rFonts w:ascii="Times New Roman" w:hAnsi="Times New Roman" w:cs="Times New Roman"/>
          <w:b/>
          <w:bCs/>
          <w:color w:val="000000" w:themeColor="text1"/>
        </w:rPr>
        <w:t xml:space="preserve">(Figure </w:t>
      </w:r>
      <w:r w:rsidR="00E92FA0" w:rsidRPr="004B546E">
        <w:rPr>
          <w:rFonts w:ascii="Times New Roman" w:hAnsi="Times New Roman" w:cs="Times New Roman"/>
          <w:b/>
          <w:bCs/>
          <w:color w:val="000000" w:themeColor="text1"/>
        </w:rPr>
        <w:t>7</w:t>
      </w:r>
      <w:r w:rsidR="00B6503A" w:rsidRPr="004B546E">
        <w:rPr>
          <w:rFonts w:ascii="Times New Roman" w:hAnsi="Times New Roman" w:cs="Times New Roman"/>
          <w:b/>
          <w:bCs/>
          <w:color w:val="000000" w:themeColor="text1"/>
        </w:rPr>
        <w:t>)</w:t>
      </w:r>
      <w:r w:rsidRPr="004B546E">
        <w:rPr>
          <w:rFonts w:ascii="Times New Roman" w:hAnsi="Times New Roman" w:cs="Times New Roman"/>
          <w:color w:val="000000" w:themeColor="text1"/>
        </w:rPr>
        <w:t>.</w:t>
      </w:r>
      <w:r w:rsidR="0002327D" w:rsidRPr="004B546E">
        <w:rPr>
          <w:rFonts w:ascii="Times New Roman" w:hAnsi="Times New Roman" w:cs="Times New Roman" w:hint="eastAsia"/>
          <w:color w:val="000000" w:themeColor="text1"/>
        </w:rPr>
        <w:t xml:space="preserve"> </w:t>
      </w:r>
      <w:r w:rsidRPr="004B546E">
        <w:rPr>
          <w:rFonts w:ascii="Times New Roman" w:hAnsi="Times New Roman" w:cs="Times New Roman"/>
          <w:color w:val="000000" w:themeColor="text1"/>
        </w:rPr>
        <w:t>(See “Primary Outcome: Catheter Failure” above for the post-hoc design-stratified analysis [RCT-only vs cohort-only] and the leave-one-out sensitivity analysis showing dependence on the largest cohort study.)</w:t>
      </w:r>
    </w:p>
    <w:p w14:paraId="0B4BA86F" w14:textId="27B687B2" w:rsidR="00853180" w:rsidRPr="004B546E" w:rsidRDefault="00853180"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Studies with Major Confounding</w:t>
      </w:r>
    </w:p>
    <w:p w14:paraId="7C61027D" w14:textId="6AC43F00" w:rsidR="00F609EB" w:rsidRPr="004B546E" w:rsidRDefault="00853180"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Four studies were excluded from the primary pooled analyses due to systematic differences in catheter specifications between groups. Dachepally et al. (2023) reported dramatically longer dwell times for USG catheters (median 219 vs. 108 hours; HR 2.20, 95% CI 1.45–3.34) in a paediatric ICU setting, but USG catheters were exclusively 4.4 cm in length compared with 1.9–3.2 cm in the traditional group</w:t>
      </w:r>
      <w:r w:rsidR="00C86F56" w:rsidRPr="004B546E">
        <w:rPr>
          <w:rFonts w:ascii="Times New Roman" w:hAnsi="Times New Roman" w:cs="Times New Roman"/>
          <w:color w:val="000000" w:themeColor="text1"/>
        </w:rPr>
        <w:t xml:space="preserve"> [</w:t>
      </w:r>
      <w:r w:rsidR="005324FC" w:rsidRPr="004B546E">
        <w:rPr>
          <w:rFonts w:ascii="Times New Roman" w:hAnsi="Times New Roman" w:cs="Times New Roman"/>
          <w:color w:val="000000" w:themeColor="text1"/>
        </w:rPr>
        <w:t>22</w:t>
      </w:r>
      <w:r w:rsidR="00C86F56"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Paladini et al. (2018) reported significantly longer dwell times (9.2 +/- 6.0 vs. 3.2 +/- 2.1 days; p &lt; 0.0001) and fewer complications (25% vs. 70%; p = 0.003) with USG, but USG catheters were 8 cm polyurethane cannulas placed via Seldinger technique versus short Teflon catheters in the landmark group</w:t>
      </w:r>
      <w:r w:rsidR="00C86F56" w:rsidRPr="004B546E">
        <w:rPr>
          <w:rFonts w:ascii="Times New Roman" w:hAnsi="Times New Roman" w:cs="Times New Roman"/>
          <w:color w:val="000000" w:themeColor="text1"/>
        </w:rPr>
        <w:t xml:space="preserve"> [</w:t>
      </w:r>
      <w:r w:rsidR="005324FC" w:rsidRPr="004B546E">
        <w:rPr>
          <w:rFonts w:ascii="Times New Roman" w:hAnsi="Times New Roman" w:cs="Times New Roman"/>
          <w:color w:val="000000" w:themeColor="text1"/>
        </w:rPr>
        <w:t>23</w:t>
      </w:r>
      <w:r w:rsidR="00C86F56"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Refosco et al. (2024) reported longer dwell times (5.3 ± 4.0 vs. 2.5 ± 1.8 days; p &lt; 0.001) and fewer complications (34% vs. 70%; p &lt; 0.001) with USG in a paediatric ED, but USG cannulas were predominantly 64 mm long peripheral catheters compared with 19-32 mm short cannulas in the blind group</w:t>
      </w:r>
      <w:r w:rsidR="00110982" w:rsidRPr="004B546E">
        <w:rPr>
          <w:rFonts w:ascii="Times New Roman" w:hAnsi="Times New Roman" w:cs="Times New Roman"/>
          <w:color w:val="000000" w:themeColor="text1"/>
        </w:rPr>
        <w:t xml:space="preserve"> </w:t>
      </w:r>
      <w:r w:rsidR="00110982" w:rsidRPr="004B546E">
        <w:rPr>
          <w:rFonts w:ascii="Times New Roman" w:hAnsi="Times New Roman" w:cs="Times New Roman" w:hint="eastAsia"/>
          <w:color w:val="000000" w:themeColor="text1"/>
        </w:rPr>
        <w:t>[</w:t>
      </w:r>
      <w:r w:rsidR="005324FC" w:rsidRPr="004B546E">
        <w:rPr>
          <w:rFonts w:ascii="Times New Roman" w:hAnsi="Times New Roman" w:cs="Times New Roman"/>
          <w:color w:val="000000" w:themeColor="text1"/>
        </w:rPr>
        <w:t>24</w:t>
      </w:r>
      <w:r w:rsidR="00110982"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Desai et al. (2018) similarly reported longer Kaplan-Meier median survival with USG (143 vs 89 hours, log-rank p&lt;0.001) in a paediatric ED, but USG patients disproportionately had a history of difficult access (55% vs 7.2%) and the authors acknowledged that the majority of USG catheters were longer than traditional catheters</w:t>
      </w:r>
      <w:r w:rsidR="00F7724C" w:rsidRPr="004B546E">
        <w:rPr>
          <w:rFonts w:ascii="Times New Roman" w:hAnsi="Times New Roman" w:cs="Times New Roman"/>
          <w:color w:val="000000" w:themeColor="text1"/>
        </w:rPr>
        <w:t xml:space="preserve"> </w:t>
      </w:r>
      <w:r w:rsidR="00F7724C" w:rsidRPr="004B546E">
        <w:rPr>
          <w:rFonts w:ascii="Times New Roman" w:hAnsi="Times New Roman" w:cs="Times New Roman" w:hint="eastAsia"/>
          <w:color w:val="000000" w:themeColor="text1"/>
        </w:rPr>
        <w:t>[</w:t>
      </w:r>
      <w:r w:rsidR="005324FC" w:rsidRPr="004B546E">
        <w:rPr>
          <w:rFonts w:ascii="Times New Roman" w:hAnsi="Times New Roman" w:cs="Times New Roman"/>
          <w:color w:val="000000" w:themeColor="text1"/>
        </w:rPr>
        <w:t>14</w:t>
      </w:r>
      <w:r w:rsidR="00F7724C"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In all four studies, the observed benefits are more plausibly attributed to greater intravascular catheter length and catheter material</w:t>
      </w:r>
      <w:r w:rsidR="00593274"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and in Desai, selection bias</w:t>
      </w:r>
      <w:r w:rsidR="00593274"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rather than to ultrasound guidance per se. In a sensitivity analysis including all studies reporting dwell time (adding Refosco and Desai to the confounded set), heterogeneity remained extreme.</w:t>
      </w:r>
    </w:p>
    <w:p w14:paraId="05B1D292" w14:textId="11E7F05A" w:rsidR="00CD1F3F" w:rsidRPr="004B546E" w:rsidRDefault="00CD1F3F" w:rsidP="00B101E0">
      <w:pPr>
        <w:ind w:firstLineChars="200" w:firstLine="480"/>
        <w:rPr>
          <w:rFonts w:ascii="Times New Roman" w:hAnsi="Times New Roman" w:cs="Times New Roman"/>
          <w:color w:val="000000" w:themeColor="text1"/>
        </w:rPr>
      </w:pPr>
    </w:p>
    <w:p w14:paraId="09FC60D9" w14:textId="321C287E" w:rsidR="00CD1F3F" w:rsidRPr="004B546E" w:rsidRDefault="00CD1F3F" w:rsidP="00B101E0">
      <w:pPr>
        <w:ind w:firstLineChars="200" w:firstLine="480"/>
        <w:rPr>
          <w:rFonts w:ascii="Times New Roman" w:hAnsi="Times New Roman" w:cs="Times New Roman"/>
          <w:color w:val="000000" w:themeColor="text1"/>
        </w:rPr>
      </w:pPr>
    </w:p>
    <w:p w14:paraId="7D4A446F" w14:textId="25304E49" w:rsidR="00CD1F3F" w:rsidRPr="004B546E" w:rsidRDefault="00CD1F3F" w:rsidP="00B101E0">
      <w:pPr>
        <w:ind w:firstLineChars="200" w:firstLine="480"/>
        <w:rPr>
          <w:rFonts w:ascii="Times New Roman" w:hAnsi="Times New Roman" w:cs="Times New Roman"/>
          <w:color w:val="000000" w:themeColor="text1"/>
        </w:rPr>
      </w:pPr>
    </w:p>
    <w:p w14:paraId="49381904" w14:textId="082487C5" w:rsidR="00CD1F3F" w:rsidRPr="004B546E" w:rsidRDefault="00CD1F3F" w:rsidP="00B101E0">
      <w:pPr>
        <w:ind w:firstLineChars="200" w:firstLine="480"/>
        <w:rPr>
          <w:rFonts w:ascii="Times New Roman" w:hAnsi="Times New Roman" w:cs="Times New Roman"/>
          <w:color w:val="000000" w:themeColor="text1"/>
        </w:rPr>
      </w:pPr>
    </w:p>
    <w:p w14:paraId="7C7957D2" w14:textId="562B0986" w:rsidR="00CD1F3F" w:rsidRPr="004B546E" w:rsidRDefault="00CD1F3F" w:rsidP="00B101E0">
      <w:pPr>
        <w:ind w:firstLineChars="200" w:firstLine="480"/>
        <w:rPr>
          <w:rFonts w:ascii="Times New Roman" w:hAnsi="Times New Roman" w:cs="Times New Roman"/>
          <w:color w:val="000000" w:themeColor="text1"/>
        </w:rPr>
      </w:pPr>
    </w:p>
    <w:p w14:paraId="4C194BCC" w14:textId="017D9D17" w:rsidR="00CD1F3F" w:rsidRPr="004B546E" w:rsidRDefault="00CD1F3F" w:rsidP="00B101E0">
      <w:pPr>
        <w:ind w:firstLineChars="200" w:firstLine="480"/>
        <w:rPr>
          <w:rFonts w:ascii="Times New Roman" w:hAnsi="Times New Roman" w:cs="Times New Roman"/>
          <w:color w:val="000000" w:themeColor="text1"/>
        </w:rPr>
      </w:pPr>
    </w:p>
    <w:p w14:paraId="4B0035E0" w14:textId="621FA6E5" w:rsidR="00CD1F3F" w:rsidRPr="004B546E" w:rsidRDefault="00CD1F3F" w:rsidP="00B101E0">
      <w:pPr>
        <w:ind w:firstLineChars="200" w:firstLine="480"/>
        <w:rPr>
          <w:rFonts w:ascii="Times New Roman" w:hAnsi="Times New Roman" w:cs="Times New Roman"/>
          <w:color w:val="000000" w:themeColor="text1"/>
        </w:rPr>
      </w:pPr>
    </w:p>
    <w:p w14:paraId="7352804C" w14:textId="3F10CD09" w:rsidR="00CD1F3F" w:rsidRPr="004B546E" w:rsidRDefault="00CD1F3F" w:rsidP="00B101E0">
      <w:pPr>
        <w:ind w:firstLineChars="200" w:firstLine="480"/>
        <w:rPr>
          <w:rFonts w:ascii="Times New Roman" w:hAnsi="Times New Roman" w:cs="Times New Roman"/>
          <w:color w:val="000000" w:themeColor="text1"/>
        </w:rPr>
      </w:pPr>
    </w:p>
    <w:p w14:paraId="02969BA1" w14:textId="66DD1C4B" w:rsidR="00CD1F3F" w:rsidRPr="004B546E" w:rsidRDefault="00CD1F3F" w:rsidP="00B101E0">
      <w:pPr>
        <w:ind w:firstLineChars="200" w:firstLine="480"/>
        <w:rPr>
          <w:rFonts w:ascii="Times New Roman" w:hAnsi="Times New Roman" w:cs="Times New Roman"/>
          <w:color w:val="000000" w:themeColor="text1"/>
        </w:rPr>
      </w:pPr>
    </w:p>
    <w:p w14:paraId="4B935AEA" w14:textId="6F13A28A" w:rsidR="00CD1F3F" w:rsidRPr="004B546E" w:rsidRDefault="00CD1F3F" w:rsidP="00B101E0">
      <w:pPr>
        <w:ind w:firstLineChars="200" w:firstLine="480"/>
        <w:rPr>
          <w:rFonts w:ascii="Times New Roman" w:hAnsi="Times New Roman" w:cs="Times New Roman"/>
          <w:color w:val="000000" w:themeColor="text1"/>
        </w:rPr>
      </w:pPr>
    </w:p>
    <w:p w14:paraId="5F4F78AC" w14:textId="06D55819" w:rsidR="00CD1F3F" w:rsidRPr="004B546E" w:rsidRDefault="00CD1F3F" w:rsidP="00B101E0">
      <w:pPr>
        <w:ind w:firstLineChars="200" w:firstLine="480"/>
        <w:rPr>
          <w:rFonts w:ascii="Times New Roman" w:hAnsi="Times New Roman" w:cs="Times New Roman"/>
          <w:color w:val="000000" w:themeColor="text1"/>
        </w:rPr>
      </w:pPr>
    </w:p>
    <w:p w14:paraId="41A162FE" w14:textId="675F6EAE" w:rsidR="00CD1F3F" w:rsidRPr="004B546E" w:rsidRDefault="00CD1F3F" w:rsidP="00B101E0">
      <w:pPr>
        <w:ind w:firstLineChars="200" w:firstLine="480"/>
        <w:rPr>
          <w:rFonts w:ascii="Times New Roman" w:hAnsi="Times New Roman" w:cs="Times New Roman"/>
          <w:color w:val="000000" w:themeColor="text1"/>
        </w:rPr>
      </w:pPr>
    </w:p>
    <w:p w14:paraId="53260331" w14:textId="745563E9" w:rsidR="00CD1F3F" w:rsidRPr="004B546E" w:rsidRDefault="00CD1F3F" w:rsidP="00B101E0">
      <w:pPr>
        <w:ind w:firstLineChars="200" w:firstLine="480"/>
        <w:rPr>
          <w:rFonts w:ascii="Times New Roman" w:hAnsi="Times New Roman" w:cs="Times New Roman"/>
          <w:color w:val="000000" w:themeColor="text1"/>
        </w:rPr>
      </w:pPr>
    </w:p>
    <w:p w14:paraId="0AE6DE2E" w14:textId="55E639FD" w:rsidR="00CD1F3F" w:rsidRPr="004B546E" w:rsidRDefault="00CD1F3F" w:rsidP="00B101E0">
      <w:pPr>
        <w:ind w:firstLineChars="200" w:firstLine="480"/>
        <w:rPr>
          <w:rFonts w:ascii="Times New Roman" w:hAnsi="Times New Roman" w:cs="Times New Roman"/>
          <w:color w:val="000000" w:themeColor="text1"/>
        </w:rPr>
      </w:pPr>
    </w:p>
    <w:p w14:paraId="7C4B9059" w14:textId="79EDA6AE" w:rsidR="00CD1F3F" w:rsidRPr="004B546E" w:rsidRDefault="00CD1F3F" w:rsidP="00B101E0">
      <w:pPr>
        <w:ind w:firstLineChars="200" w:firstLine="480"/>
        <w:rPr>
          <w:rFonts w:ascii="Times New Roman" w:hAnsi="Times New Roman" w:cs="Times New Roman"/>
          <w:color w:val="000000" w:themeColor="text1"/>
        </w:rPr>
      </w:pPr>
    </w:p>
    <w:p w14:paraId="2D206742" w14:textId="4F26272B" w:rsidR="00CD1F3F" w:rsidRPr="004B546E" w:rsidRDefault="00CD1F3F" w:rsidP="00B101E0">
      <w:pPr>
        <w:ind w:firstLineChars="200" w:firstLine="480"/>
        <w:rPr>
          <w:rFonts w:ascii="Times New Roman" w:hAnsi="Times New Roman" w:cs="Times New Roman"/>
          <w:color w:val="000000" w:themeColor="text1"/>
        </w:rPr>
      </w:pPr>
    </w:p>
    <w:p w14:paraId="05B96E72" w14:textId="35CECC61" w:rsidR="00CD1F3F" w:rsidRPr="004B546E" w:rsidRDefault="00CD1F3F" w:rsidP="00B101E0">
      <w:pPr>
        <w:ind w:firstLineChars="200" w:firstLine="480"/>
        <w:rPr>
          <w:rFonts w:ascii="Times New Roman" w:hAnsi="Times New Roman" w:cs="Times New Roman"/>
          <w:color w:val="000000" w:themeColor="text1"/>
        </w:rPr>
      </w:pPr>
    </w:p>
    <w:p w14:paraId="59836B38" w14:textId="21B53636" w:rsidR="00CD1F3F" w:rsidRPr="004B546E" w:rsidRDefault="00CD1F3F" w:rsidP="00B101E0">
      <w:pPr>
        <w:ind w:firstLineChars="200" w:firstLine="480"/>
        <w:rPr>
          <w:rFonts w:ascii="Times New Roman" w:hAnsi="Times New Roman" w:cs="Times New Roman"/>
          <w:color w:val="000000" w:themeColor="text1"/>
        </w:rPr>
      </w:pPr>
    </w:p>
    <w:p w14:paraId="3FED7A8D" w14:textId="14835143" w:rsidR="00CD1F3F" w:rsidRPr="004B546E" w:rsidRDefault="00CD1F3F" w:rsidP="00B101E0">
      <w:pPr>
        <w:ind w:firstLineChars="200" w:firstLine="480"/>
        <w:rPr>
          <w:rFonts w:ascii="Times New Roman" w:hAnsi="Times New Roman" w:cs="Times New Roman"/>
          <w:color w:val="000000" w:themeColor="text1"/>
        </w:rPr>
      </w:pPr>
    </w:p>
    <w:p w14:paraId="0CD1293F" w14:textId="4F280850" w:rsidR="00CD1F3F" w:rsidRPr="004B546E" w:rsidRDefault="00CD1F3F" w:rsidP="00B101E0">
      <w:pPr>
        <w:ind w:firstLineChars="200" w:firstLine="480"/>
        <w:rPr>
          <w:rFonts w:ascii="Times New Roman" w:hAnsi="Times New Roman" w:cs="Times New Roman"/>
          <w:color w:val="000000" w:themeColor="text1"/>
        </w:rPr>
      </w:pPr>
    </w:p>
    <w:p w14:paraId="4DD3C844" w14:textId="50B6C56C" w:rsidR="00CD1F3F" w:rsidRPr="004B546E" w:rsidRDefault="00CD1F3F" w:rsidP="00B101E0">
      <w:pPr>
        <w:ind w:firstLineChars="200" w:firstLine="480"/>
        <w:rPr>
          <w:rFonts w:ascii="Times New Roman" w:hAnsi="Times New Roman" w:cs="Times New Roman"/>
          <w:color w:val="000000" w:themeColor="text1"/>
        </w:rPr>
      </w:pPr>
    </w:p>
    <w:p w14:paraId="0EC0AF95" w14:textId="111C9776" w:rsidR="00CD1F3F" w:rsidRPr="004B546E" w:rsidRDefault="00CD1F3F" w:rsidP="00B101E0">
      <w:pPr>
        <w:ind w:firstLineChars="200" w:firstLine="480"/>
        <w:rPr>
          <w:rFonts w:ascii="Times New Roman" w:hAnsi="Times New Roman" w:cs="Times New Roman"/>
          <w:color w:val="000000" w:themeColor="text1"/>
        </w:rPr>
      </w:pPr>
    </w:p>
    <w:p w14:paraId="4AB5153F" w14:textId="6FAE8BA5" w:rsidR="00092C15" w:rsidRPr="004B546E" w:rsidRDefault="00092C15" w:rsidP="00B101E0">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Discussion</w:t>
      </w:r>
    </w:p>
    <w:p w14:paraId="16303C12" w14:textId="74B18BBC" w:rsidR="0002327D" w:rsidRPr="004B546E" w:rsidRDefault="0002327D" w:rsidP="0002327D">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Interpretation of Main Findings</w:t>
      </w:r>
    </w:p>
    <w:p w14:paraId="1FFCEE80" w14:textId="0F23DE7C" w:rsidR="00092C15" w:rsidRPr="004B546E" w:rsidRDefault="00092C15" w:rsidP="00B101E0">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 xml:space="preserve">This systematic review and meta-analysis is, to our knowledge, the first to specifically and comprehensively evaluate post-insertion outcomes of USG compared with landmark PIVC placement. Across 14 studies enrolling 78,209 participants, we found no statistically significant evidence that USG insertion improves catheter failure rates, dwell time, or other post-insertion complications. The pooled RR for catheter failure was 1.23 (95% CI </w:t>
      </w:r>
      <w:r w:rsidR="000F75FC" w:rsidRPr="004B546E">
        <w:rPr>
          <w:rFonts w:ascii="Times New Roman" w:hAnsi="Times New Roman" w:cs="Times New Roman"/>
          <w:color w:val="000000" w:themeColor="text1"/>
        </w:rPr>
        <w:t>1</w:t>
      </w:r>
      <w:r w:rsidRPr="004B546E">
        <w:rPr>
          <w:rFonts w:ascii="Times New Roman" w:hAnsi="Times New Roman" w:cs="Times New Roman"/>
          <w:color w:val="000000" w:themeColor="text1"/>
        </w:rPr>
        <w:t>.</w:t>
      </w:r>
      <w:r w:rsidR="000F75FC" w:rsidRPr="004B546E">
        <w:rPr>
          <w:rFonts w:ascii="Times New Roman" w:hAnsi="Times New Roman" w:cs="Times New Roman"/>
          <w:color w:val="000000" w:themeColor="text1"/>
        </w:rPr>
        <w:t>00</w:t>
      </w:r>
      <w:r w:rsidRPr="004B546E">
        <w:rPr>
          <w:rFonts w:ascii="Times New Roman" w:hAnsi="Times New Roman" w:cs="Times New Roman"/>
          <w:color w:val="000000" w:themeColor="text1"/>
        </w:rPr>
        <w:t>–1.51; p = 0.056), a non-significant estimate with a point estimate above 1.0</w:t>
      </w:r>
      <w:r w:rsidR="000F75FC" w:rsidRPr="004B546E">
        <w:rPr>
          <w:rFonts w:ascii="Times New Roman" w:hAnsi="Times New Roman" w:cs="Times New Roman"/>
          <w:color w:val="000000" w:themeColor="text1"/>
        </w:rPr>
        <w:t xml:space="preserve"> </w:t>
      </w:r>
      <w:r w:rsidR="000F75FC" w:rsidRPr="004B546E">
        <w:rPr>
          <w:rFonts w:ascii="Times New Roman" w:hAnsi="Times New Roman" w:cs="Times New Roman"/>
          <w:b/>
          <w:bCs/>
          <w:color w:val="000000" w:themeColor="text1"/>
        </w:rPr>
        <w:t>(Figure 2)</w:t>
      </w:r>
      <w:r w:rsidRPr="004B546E">
        <w:rPr>
          <w:rFonts w:ascii="Times New Roman" w:hAnsi="Times New Roman" w:cs="Times New Roman"/>
          <w:color w:val="000000" w:themeColor="text1"/>
        </w:rPr>
        <w:t>. Dwell time results were heterogeneous and could not be pooled (I² = 91.9%)</w:t>
      </w:r>
      <w:r w:rsidR="000F75FC" w:rsidRPr="004B546E">
        <w:rPr>
          <w:rFonts w:ascii="Times New Roman" w:hAnsi="Times New Roman" w:cs="Times New Roman"/>
          <w:color w:val="000000" w:themeColor="text1"/>
        </w:rPr>
        <w:t xml:space="preserve"> </w:t>
      </w:r>
      <w:r w:rsidR="000F75FC" w:rsidRPr="004B546E">
        <w:rPr>
          <w:rFonts w:ascii="Times New Roman" w:hAnsi="Times New Roman" w:cs="Times New Roman"/>
          <w:b/>
          <w:bCs/>
          <w:color w:val="000000" w:themeColor="text1"/>
        </w:rPr>
        <w:t>(Figure 3)</w:t>
      </w:r>
      <w:r w:rsidRPr="004B546E">
        <w:rPr>
          <w:rFonts w:ascii="Times New Roman" w:hAnsi="Times New Roman" w:cs="Times New Roman"/>
          <w:color w:val="000000" w:themeColor="text1"/>
        </w:rPr>
        <w:t>. These findings challenge the implicit assumption that the well-documented insertion benefits of USG translate into superior catheter performance after placement.</w:t>
      </w:r>
    </w:p>
    <w:p w14:paraId="1553C513" w14:textId="72DBF6D9" w:rsidR="00E02285" w:rsidRPr="004B546E" w:rsidRDefault="00092C15" w:rsidP="00092C15">
      <w:pPr>
        <w:rPr>
          <w:rFonts w:ascii="Times New Roman" w:hAnsi="Times New Roman" w:cs="Times New Roman"/>
          <w:color w:val="000000" w:themeColor="text1"/>
        </w:rPr>
      </w:pPr>
      <w:r w:rsidRPr="004B546E">
        <w:rPr>
          <w:rFonts w:ascii="Times New Roman" w:hAnsi="Times New Roman" w:cs="Times New Roman"/>
          <w:color w:val="000000" w:themeColor="text1"/>
        </w:rPr>
        <w:t>The addition of Cottrell et al. (2021) introduced substantial heterogeneity into the dwell time analysis (I² = 91.9%)</w:t>
      </w:r>
      <w:r w:rsidR="002D6A0C" w:rsidRPr="004B546E">
        <w:rPr>
          <w:rFonts w:ascii="Times New Roman" w:hAnsi="Times New Roman" w:cs="Times New Roman"/>
          <w:color w:val="000000" w:themeColor="text1"/>
        </w:rPr>
        <w:t xml:space="preserve"> </w:t>
      </w:r>
      <w:r w:rsidR="002D6A0C" w:rsidRPr="004B546E">
        <w:rPr>
          <w:rFonts w:ascii="Times New Roman" w:hAnsi="Times New Roman" w:cs="Times New Roman"/>
          <w:b/>
          <w:bCs/>
          <w:color w:val="000000" w:themeColor="text1"/>
        </w:rPr>
        <w:t>(Figure 3)</w:t>
      </w:r>
      <w:r w:rsidRPr="004B546E">
        <w:rPr>
          <w:rFonts w:ascii="Times New Roman" w:hAnsi="Times New Roman" w:cs="Times New Roman"/>
          <w:color w:val="000000" w:themeColor="text1"/>
        </w:rPr>
        <w:t>, preventing meta-analytic pooling. This study’s positive finding</w:t>
      </w:r>
      <w:r w:rsidR="001116A8"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a 36.7-hour dwell time advantage for USG</w:t>
      </w:r>
      <w:r w:rsidR="001116A8"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is notable because it used identical catheter types in both groups, thus controlling for the catheter length confounding present in other positive studies</w:t>
      </w:r>
      <w:r w:rsidR="004053B7" w:rsidRPr="004B546E">
        <w:rPr>
          <w:rFonts w:ascii="Times New Roman" w:hAnsi="Times New Roman" w:cs="Times New Roman"/>
          <w:color w:val="000000" w:themeColor="text1"/>
        </w:rPr>
        <w:t xml:space="preserve"> (</w:t>
      </w:r>
      <w:r w:rsidR="004053B7" w:rsidRPr="004B546E">
        <w:rPr>
          <w:rFonts w:ascii="Times New Roman" w:hAnsi="Times New Roman" w:cs="Times New Roman"/>
          <w:b/>
          <w:bCs/>
          <w:color w:val="000000" w:themeColor="text1"/>
        </w:rPr>
        <w:t xml:space="preserve">Figure </w:t>
      </w:r>
      <w:r w:rsidR="00805C28" w:rsidRPr="004B546E">
        <w:rPr>
          <w:rFonts w:ascii="Times New Roman" w:hAnsi="Times New Roman" w:cs="Times New Roman"/>
          <w:b/>
          <w:bCs/>
          <w:color w:val="000000" w:themeColor="text1"/>
        </w:rPr>
        <w:t>3</w:t>
      </w:r>
      <w:r w:rsidR="004053B7"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w:t>
      </w:r>
      <w:r w:rsidR="00E02285" w:rsidRPr="004B546E">
        <w:rPr>
          <w:rFonts w:ascii="Times New Roman" w:hAnsi="Times New Roman" w:cs="Times New Roman"/>
          <w:color w:val="000000" w:themeColor="text1"/>
        </w:rPr>
        <w:t>Cottrell et al.’s findings should be interpreted within the appropriate clinical context, as patients in the ultrasound-guided group were more frequently classified as having difficult vascular access (75% vs. 36%) [</w:t>
      </w:r>
      <w:r w:rsidR="0067207B" w:rsidRPr="004B546E">
        <w:rPr>
          <w:rFonts w:ascii="Times New Roman" w:hAnsi="Times New Roman" w:cs="Times New Roman"/>
          <w:color w:val="000000" w:themeColor="text1"/>
        </w:rPr>
        <w:t>21</w:t>
      </w:r>
      <w:r w:rsidR="00E02285" w:rsidRPr="004B546E">
        <w:rPr>
          <w:rFonts w:ascii="Times New Roman" w:hAnsi="Times New Roman" w:cs="Times New Roman"/>
          <w:color w:val="000000" w:themeColor="text1"/>
        </w:rPr>
        <w:t>]. Additionally, the involvement of a specialised vascular access team may have contributed to improved catheter placement outcomes through expert vessel selection, rather than reflecting the isolated effect of ultrasound guidance itself.</w:t>
      </w:r>
    </w:p>
    <w:p w14:paraId="1F6541DF" w14:textId="1665FC54" w:rsidR="00092C15" w:rsidRPr="004B546E" w:rsidRDefault="00092C15" w:rsidP="00E02285">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Our results must be interpreted against the broader context of USG PIVC literature. Prior systematic reviews and meta-analyses have consistently demonstrated that USG improves first-attempt success rates and reduces the number of skin punctures, particularly in DIVA populations</w:t>
      </w:r>
      <w:r w:rsidR="001116A8" w:rsidRPr="004B546E">
        <w:rPr>
          <w:rFonts w:ascii="Times New Roman" w:hAnsi="Times New Roman" w:cs="Times New Roman"/>
          <w:color w:val="000000" w:themeColor="text1"/>
        </w:rPr>
        <w:t xml:space="preserve"> [</w:t>
      </w:r>
      <w:r w:rsidR="0067207B" w:rsidRPr="004B546E">
        <w:rPr>
          <w:rFonts w:ascii="Times New Roman" w:hAnsi="Times New Roman" w:cs="Times New Roman"/>
          <w:color w:val="000000" w:themeColor="text1"/>
        </w:rPr>
        <w:t>4, 6, 27</w:t>
      </w:r>
      <w:r w:rsidR="001116A8"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w:t>
      </w:r>
      <w:r w:rsidR="00BB15BB" w:rsidRPr="004B546E">
        <w:rPr>
          <w:rFonts w:ascii="Times New Roman" w:hAnsi="Times New Roman" w:cs="Times New Roman" w:hint="eastAsia"/>
          <w:color w:val="000000" w:themeColor="text1"/>
        </w:rPr>
        <w:t xml:space="preserve"> [</w:t>
      </w:r>
      <w:r w:rsidR="0067207B" w:rsidRPr="004B546E">
        <w:rPr>
          <w:rFonts w:ascii="Times New Roman" w:hAnsi="Times New Roman" w:cs="Times New Roman"/>
          <w:color w:val="000000" w:themeColor="text1"/>
        </w:rPr>
        <w:t>7, 8</w:t>
      </w:r>
      <w:r w:rsidR="00BB15BB"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w:t>
      </w:r>
    </w:p>
    <w:p w14:paraId="0A9CBDBD" w14:textId="28EF0C35" w:rsidR="00092C15" w:rsidRPr="004B546E" w:rsidRDefault="00092C15" w:rsidP="00092C15">
      <w:pPr>
        <w:rPr>
          <w:rFonts w:ascii="Times New Roman" w:hAnsi="Times New Roman" w:cs="Times New Roman"/>
          <w:color w:val="000000" w:themeColor="text1"/>
        </w:rPr>
      </w:pPr>
      <w:r w:rsidRPr="004B546E">
        <w:rPr>
          <w:rFonts w:ascii="Times New Roman" w:hAnsi="Times New Roman" w:cs="Times New Roman"/>
          <w:color w:val="000000" w:themeColor="text1"/>
        </w:rPr>
        <w:t>A critical finding of this review is the identification of catheter length and type as likely confounders in studies reporting favourable USG outcomes. Dachepally et al. (2023)</w:t>
      </w:r>
      <w:r w:rsidR="004B5FAC" w:rsidRPr="004B546E">
        <w:rPr>
          <w:rFonts w:ascii="Times New Roman" w:hAnsi="Times New Roman" w:cs="Times New Roman" w:hint="eastAsia"/>
          <w:color w:val="000000" w:themeColor="text1"/>
        </w:rPr>
        <w:t xml:space="preserve"> [</w:t>
      </w:r>
      <w:r w:rsidR="000E0617" w:rsidRPr="004B546E">
        <w:rPr>
          <w:rFonts w:ascii="Times New Roman" w:hAnsi="Times New Roman" w:cs="Times New Roman"/>
          <w:color w:val="000000" w:themeColor="text1"/>
        </w:rPr>
        <w:t>22</w:t>
      </w:r>
      <w:r w:rsidR="004B5FAC"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Paladini et al. (2018)</w:t>
      </w:r>
      <w:r w:rsidR="004B5FAC" w:rsidRPr="004B546E">
        <w:rPr>
          <w:rFonts w:ascii="Times New Roman" w:hAnsi="Times New Roman" w:cs="Times New Roman" w:hint="eastAsia"/>
          <w:color w:val="000000" w:themeColor="text1"/>
        </w:rPr>
        <w:t xml:space="preserve"> [</w:t>
      </w:r>
      <w:r w:rsidR="000E0617" w:rsidRPr="004B546E">
        <w:rPr>
          <w:rFonts w:ascii="Times New Roman" w:hAnsi="Times New Roman" w:cs="Times New Roman"/>
          <w:color w:val="000000" w:themeColor="text1"/>
        </w:rPr>
        <w:t>23</w:t>
      </w:r>
      <w:r w:rsidR="004B5FAC"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Refosco et al. (202</w:t>
      </w:r>
      <w:r w:rsidR="00C35999" w:rsidRPr="004B546E">
        <w:rPr>
          <w:rFonts w:ascii="Times New Roman" w:hAnsi="Times New Roman" w:cs="Times New Roman" w:hint="eastAsia"/>
          <w:color w:val="000000" w:themeColor="text1"/>
        </w:rPr>
        <w:t>5</w:t>
      </w:r>
      <w:r w:rsidRPr="004B546E">
        <w:rPr>
          <w:rFonts w:ascii="Times New Roman" w:hAnsi="Times New Roman" w:cs="Times New Roman"/>
          <w:color w:val="000000" w:themeColor="text1"/>
        </w:rPr>
        <w:t>)</w:t>
      </w:r>
      <w:r w:rsidR="004B5FAC" w:rsidRPr="004B546E">
        <w:rPr>
          <w:rFonts w:ascii="Times New Roman" w:hAnsi="Times New Roman" w:cs="Times New Roman" w:hint="eastAsia"/>
          <w:color w:val="000000" w:themeColor="text1"/>
        </w:rPr>
        <w:t xml:space="preserve"> [</w:t>
      </w:r>
      <w:r w:rsidR="000E0617" w:rsidRPr="004B546E">
        <w:rPr>
          <w:rFonts w:ascii="Times New Roman" w:hAnsi="Times New Roman" w:cs="Times New Roman"/>
          <w:color w:val="000000" w:themeColor="text1"/>
        </w:rPr>
        <w:t>24</w:t>
      </w:r>
      <w:r w:rsidR="004B5FAC"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and Desai et al. (2018)</w:t>
      </w:r>
      <w:r w:rsidR="004B5FAC" w:rsidRPr="004B546E">
        <w:rPr>
          <w:rFonts w:ascii="Times New Roman" w:hAnsi="Times New Roman" w:cs="Times New Roman" w:hint="eastAsia"/>
          <w:color w:val="000000" w:themeColor="text1"/>
        </w:rPr>
        <w:t xml:space="preserve"> [</w:t>
      </w:r>
      <w:r w:rsidR="000E0617" w:rsidRPr="004B546E">
        <w:rPr>
          <w:rFonts w:ascii="Times New Roman" w:hAnsi="Times New Roman" w:cs="Times New Roman"/>
          <w:color w:val="000000" w:themeColor="text1"/>
        </w:rPr>
        <w:t>14</w:t>
      </w:r>
      <w:r w:rsidR="004B5FAC"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xml:space="preserve"> demonstrated markedly superior outcomes with USG, but in all these studies, USG catheters were substantially longer than those in the comparator group. The addition of Nishizawa et al. (2020)</w:t>
      </w:r>
      <w:r w:rsidR="00BB15BB" w:rsidRPr="004B546E">
        <w:rPr>
          <w:rFonts w:ascii="Times New Roman" w:hAnsi="Times New Roman" w:cs="Times New Roman" w:hint="eastAsia"/>
          <w:color w:val="000000" w:themeColor="text1"/>
        </w:rPr>
        <w:t xml:space="preserve"> [</w:t>
      </w:r>
      <w:r w:rsidR="00D152B9" w:rsidRPr="004B546E">
        <w:rPr>
          <w:rFonts w:ascii="Times New Roman" w:hAnsi="Times New Roman" w:cs="Times New Roman"/>
          <w:color w:val="000000" w:themeColor="text1"/>
        </w:rPr>
        <w:t>15</w:t>
      </w:r>
      <w:r w:rsidR="00BB15BB"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xml:space="preserve">, an RCT in critically ill patients, supports the absence of meaningful post-insertion benefits even in a high-acuity DIVA population, while Desai et al. (2018) </w:t>
      </w:r>
      <w:r w:rsidR="00BB15BB" w:rsidRPr="004B546E">
        <w:rPr>
          <w:rFonts w:ascii="Times New Roman" w:hAnsi="Times New Roman" w:cs="Times New Roman" w:hint="eastAsia"/>
          <w:color w:val="000000" w:themeColor="text1"/>
        </w:rPr>
        <w:t>[</w:t>
      </w:r>
      <w:r w:rsidR="00D152B9" w:rsidRPr="004B546E">
        <w:rPr>
          <w:rFonts w:ascii="Times New Roman" w:hAnsi="Times New Roman" w:cs="Times New Roman"/>
          <w:color w:val="000000" w:themeColor="text1"/>
        </w:rPr>
        <w:t>14</w:t>
      </w:r>
      <w:r w:rsidR="00BB15BB" w:rsidRPr="004B546E">
        <w:rPr>
          <w:rFonts w:ascii="Times New Roman" w:hAnsi="Times New Roman" w:cs="Times New Roman" w:hint="eastAsia"/>
          <w:color w:val="000000" w:themeColor="text1"/>
        </w:rPr>
        <w:t xml:space="preserve">] </w:t>
      </w:r>
      <w:r w:rsidRPr="004B546E">
        <w:rPr>
          <w:rFonts w:ascii="Times New Roman" w:hAnsi="Times New Roman" w:cs="Times New Roman"/>
          <w:color w:val="000000" w:themeColor="text1"/>
        </w:rPr>
        <w:t>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w:t>
      </w:r>
      <w:r w:rsidR="00593274"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28, 29</w:t>
      </w:r>
      <w:r w:rsidR="00593274"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w:t>
      </w:r>
    </w:p>
    <w:p w14:paraId="01CB2FEB" w14:textId="02E6F4FE" w:rsidR="00092C15" w:rsidRPr="004B546E" w:rsidRDefault="00092C15" w:rsidP="00CD1F3F">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An important question arising from this observation is whether USG inherently induces the use of longer catheters. By visualising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w:t>
      </w:r>
      <w:r w:rsidR="001116A8"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29</w:t>
      </w:r>
      <w:r w:rsidR="001116A8"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Pandurangadu et al. demonstrated that 100% of USG catheters failed when less than 30% of the catheter length resided within the vein</w:t>
      </w:r>
      <w:r w:rsidR="005E72C8" w:rsidRPr="004B546E">
        <w:rPr>
          <w:rFonts w:ascii="Times New Roman" w:hAnsi="Times New Roman" w:cs="Times New Roman" w:hint="eastAsia"/>
          <w:color w:val="000000" w:themeColor="text1"/>
        </w:rPr>
        <w:t xml:space="preserve"> </w:t>
      </w:r>
      <w:r w:rsidR="005E72C8" w:rsidRPr="004B546E">
        <w:rPr>
          <w:rFonts w:ascii="Times New Roman" w:hAnsi="Times New Roman" w:cs="Times New Roman"/>
          <w:color w:val="000000" w:themeColor="text1"/>
        </w:rPr>
        <w:t>[</w:t>
      </w:r>
      <w:r w:rsidR="00D152B9" w:rsidRPr="004B546E">
        <w:rPr>
          <w:rFonts w:ascii="Times New Roman" w:hAnsi="Times New Roman" w:cs="Times New Roman"/>
          <w:color w:val="000000" w:themeColor="text1"/>
        </w:rPr>
        <w:t>29</w:t>
      </w:r>
      <w:r w:rsidR="005E72C8"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.10 In this context, the superior outcomes observed in studies using longer catheters (4.4 cm in Dachepally et al.</w:t>
      </w:r>
      <w:r w:rsidR="00484D93" w:rsidRPr="004B546E">
        <w:rPr>
          <w:rFonts w:ascii="Times New Roman" w:hAnsi="Times New Roman" w:cs="Times New Roman" w:hint="eastAsia"/>
          <w:color w:val="000000" w:themeColor="text1"/>
        </w:rPr>
        <w:t xml:space="preserve"> [</w:t>
      </w:r>
      <w:r w:rsidR="00D152B9" w:rsidRPr="004B546E">
        <w:rPr>
          <w:rFonts w:ascii="Times New Roman" w:hAnsi="Times New Roman" w:cs="Times New Roman"/>
          <w:color w:val="000000" w:themeColor="text1"/>
        </w:rPr>
        <w:t>22</w:t>
      </w:r>
      <w:r w:rsidR="00484D93"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8 cm in Paladini et al.</w:t>
      </w:r>
      <w:r w:rsidR="00484D93" w:rsidRPr="004B546E">
        <w:rPr>
          <w:rFonts w:ascii="Times New Roman" w:hAnsi="Times New Roman" w:cs="Times New Roman" w:hint="eastAsia"/>
          <w:color w:val="000000" w:themeColor="text1"/>
        </w:rPr>
        <w:t xml:space="preserve"> [</w:t>
      </w:r>
      <w:r w:rsidR="00D152B9" w:rsidRPr="004B546E">
        <w:rPr>
          <w:rFonts w:ascii="Times New Roman" w:hAnsi="Times New Roman" w:cs="Times New Roman"/>
          <w:color w:val="000000" w:themeColor="text1"/>
        </w:rPr>
        <w:t>23]</w:t>
      </w:r>
      <w:r w:rsidRPr="004B546E">
        <w:rPr>
          <w:rFonts w:ascii="Times New Roman" w:hAnsi="Times New Roman" w:cs="Times New Roman"/>
          <w:color w:val="000000" w:themeColor="text1"/>
        </w:rPr>
        <w:t xml:space="preserve">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w:t>
      </w:r>
      <w:r w:rsidR="00C12F80" w:rsidRPr="004B546E">
        <w:rPr>
          <w:rFonts w:ascii="Times New Roman" w:hAnsi="Times New Roman" w:cs="Times New Roman" w:hint="eastAsia"/>
          <w:color w:val="000000" w:themeColor="text1"/>
        </w:rPr>
        <w:t xml:space="preserve"> </w:t>
      </w:r>
      <w:r w:rsidRPr="004B546E">
        <w:rPr>
          <w:rFonts w:ascii="Times New Roman" w:hAnsi="Times New Roman" w:cs="Times New Roman"/>
          <w:color w:val="000000" w:themeColor="text1"/>
        </w:rPr>
        <w:t>may be equally important for post-insertion catheter survival</w:t>
      </w:r>
      <w:r w:rsidR="00C12F80" w:rsidRPr="004B546E">
        <w:rPr>
          <w:rFonts w:ascii="Times New Roman" w:hAnsi="Times New Roman" w:cs="Times New Roman" w:hint="eastAsia"/>
          <w:color w:val="000000" w:themeColor="text1"/>
        </w:rPr>
        <w:t xml:space="preserve"> [</w:t>
      </w:r>
      <w:r w:rsidR="00D152B9" w:rsidRPr="004B546E">
        <w:rPr>
          <w:rFonts w:ascii="Times New Roman" w:hAnsi="Times New Roman" w:cs="Times New Roman"/>
          <w:color w:val="000000" w:themeColor="text1"/>
        </w:rPr>
        <w:t>6</w:t>
      </w:r>
      <w:r w:rsidR="00C12F80"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Future studies must therefore control for catheter specifications</w:t>
      </w:r>
      <w:r w:rsidR="00D414C2"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including length, gauge, and material</w:t>
      </w:r>
      <w:r w:rsidR="00D414C2"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to isolate the independent effect of the ultrasound guidance modality from the confounding effect of catheter selection.</w:t>
      </w:r>
    </w:p>
    <w:p w14:paraId="71954190" w14:textId="526D21E8" w:rsidR="0002327D" w:rsidRPr="004B546E" w:rsidRDefault="0002327D" w:rsidP="0002327D">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Extravasation as a Potential Safety Signal</w:t>
      </w:r>
    </w:p>
    <w:p w14:paraId="060135A4" w14:textId="6E4A1F9F" w:rsidR="0002327D" w:rsidRPr="004B546E" w:rsidRDefault="0002327D" w:rsidP="00CD1F3F">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 xml:space="preserve">An exploratory extravasation signal emerges from three studies that warrants acknowledgment, while noting that the certainty of this evidence is very low (GRADE </w:t>
      </w:r>
      <w:r w:rsidRPr="004B546E">
        <w:rPr>
          <w:rFonts w:ascii="Times New Roman" w:hAnsi="Times New Roman" w:cs="Times New Roman" w:hint="eastAsia"/>
          <w:color w:val="000000" w:themeColor="text1"/>
        </w:rPr>
        <w:t>⊕</w:t>
      </w:r>
      <w:r w:rsidRPr="004B546E">
        <w:rPr>
          <w:rFonts w:ascii="MS Mincho" w:eastAsia="MS Mincho" w:hAnsi="MS Mincho" w:cs="MS Mincho" w:hint="eastAsia"/>
          <w:color w:val="000000" w:themeColor="text1"/>
        </w:rPr>
        <w:t>◯◯◯</w:t>
      </w:r>
      <w:r w:rsidRPr="004B546E">
        <w:rPr>
          <w:rFonts w:ascii="Times New Roman" w:hAnsi="Times New Roman" w:cs="Times New Roman"/>
          <w:color w:val="000000" w:themeColor="text1"/>
        </w:rPr>
        <w:t xml:space="preserve">). Bridey et al. (2018) </w:t>
      </w:r>
      <w:r w:rsidR="00480DDF" w:rsidRPr="004B546E">
        <w:rPr>
          <w:rFonts w:ascii="Times New Roman" w:hAnsi="Times New Roman" w:cs="Times New Roman" w:hint="eastAsia"/>
          <w:color w:val="000000" w:themeColor="text1"/>
        </w:rPr>
        <w:t>[</w:t>
      </w:r>
      <w:r w:rsidR="00D152B9" w:rsidRPr="004B546E">
        <w:rPr>
          <w:rFonts w:ascii="Times New Roman" w:hAnsi="Times New Roman" w:cs="Times New Roman"/>
          <w:color w:val="000000" w:themeColor="text1"/>
        </w:rPr>
        <w:t>16</w:t>
      </w:r>
      <w:r w:rsidR="00480DDF" w:rsidRPr="004B546E">
        <w:rPr>
          <w:rFonts w:ascii="Times New Roman" w:hAnsi="Times New Roman" w:cs="Times New Roman" w:hint="eastAsia"/>
          <w:color w:val="000000" w:themeColor="text1"/>
        </w:rPr>
        <w:t xml:space="preserve">] </w:t>
      </w:r>
      <w:r w:rsidRPr="004B546E">
        <w:rPr>
          <w:rFonts w:ascii="Times New Roman" w:hAnsi="Times New Roman" w:cs="Times New Roman"/>
          <w:color w:val="000000" w:themeColor="text1"/>
        </w:rPr>
        <w:t>and Favot et al. (2019)</w:t>
      </w:r>
      <w:r w:rsidR="00480DDF" w:rsidRPr="004B546E">
        <w:rPr>
          <w:rFonts w:ascii="Times New Roman" w:hAnsi="Times New Roman" w:cs="Times New Roman" w:hint="eastAsia"/>
          <w:color w:val="000000" w:themeColor="text1"/>
        </w:rPr>
        <w:t xml:space="preserve"> [</w:t>
      </w:r>
      <w:r w:rsidR="00D152B9" w:rsidRPr="004B546E">
        <w:rPr>
          <w:rFonts w:ascii="Times New Roman" w:hAnsi="Times New Roman" w:cs="Times New Roman"/>
          <w:color w:val="000000" w:themeColor="text1"/>
        </w:rPr>
        <w:t>25</w:t>
      </w:r>
      <w:r w:rsidR="00480DDF"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xml:space="preserve"> reported numerically higher extravasation rates with USG, though the magnitude differed dramatically (RR 1.92 vs. 19.4); Nishizawa et al. (2020)</w:t>
      </w:r>
      <w:r w:rsidR="0007027A" w:rsidRPr="004B546E">
        <w:rPr>
          <w:rFonts w:ascii="Times New Roman" w:hAnsi="Times New Roman" w:cs="Times New Roman" w:hint="eastAsia"/>
          <w:color w:val="000000" w:themeColor="text1"/>
        </w:rPr>
        <w:t xml:space="preserve"> [</w:t>
      </w:r>
      <w:r w:rsidR="00D152B9" w:rsidRPr="004B546E">
        <w:rPr>
          <w:rFonts w:ascii="Times New Roman" w:hAnsi="Times New Roman" w:cs="Times New Roman"/>
          <w:color w:val="000000" w:themeColor="text1"/>
        </w:rPr>
        <w:t>15</w:t>
      </w:r>
      <w:r w:rsidR="0007027A"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xml:space="preserve"> reported a directionally opposite finding (13.6% vs. 28.5%). The extreme between-study heterogeneity (I2 = 95.7%)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14:paraId="77737FA9" w14:textId="2206717F" w:rsidR="0002327D" w:rsidRPr="004B546E" w:rsidRDefault="0002327D" w:rsidP="00CD1F3F">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The underlying biomechanics offer a plausible explanation. USG enables cannulation of deeper, non-palpable veins</w:t>
      </w:r>
      <w:r w:rsidR="00D414C2"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typically at depths of 1.0 to 2.0 cm below the skin surface</w:t>
      </w:r>
      <w:r w:rsidR="00D414C2"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7</w:t>
      </w:r>
      <w:r w:rsidR="00D414C2"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w:t>
      </w:r>
      <w:r w:rsidR="001116A8"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w:t>
      </w:r>
      <w:r w:rsidR="001116A8"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7</w:t>
      </w:r>
      <w:r w:rsidR="001116A8"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The short intravascular segment is susceptible to catheter tip migration with patient movement, particularly at flexion points such as the antecubital fossa. When the catheter tip migrates outside the vessel lumen, any infusate</w:t>
      </w:r>
      <w:r w:rsidR="00D414C2"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but especially high-pressure contrast injections</w:t>
      </w:r>
      <w:r w:rsidR="00D414C2"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can extravasate into the perivascular tissue.</w:t>
      </w:r>
    </w:p>
    <w:p w14:paraId="24F5613F" w14:textId="652D5D9D" w:rsidR="0002327D" w:rsidRPr="004B546E" w:rsidRDefault="0002327D" w:rsidP="0002327D">
      <w:pPr>
        <w:rPr>
          <w:rFonts w:ascii="Times New Roman" w:hAnsi="Times New Roman" w:cs="Times New Roman"/>
          <w:color w:val="000000" w:themeColor="text1"/>
        </w:rPr>
      </w:pPr>
      <w:r w:rsidRPr="004B546E">
        <w:rPr>
          <w:rFonts w:ascii="Times New Roman" w:hAnsi="Times New Roman" w:cs="Times New Roman"/>
          <w:color w:val="000000" w:themeColor="text1"/>
        </w:rPr>
        <w:t>The dramatically elevated Favot et al</w:t>
      </w:r>
      <w:r w:rsidR="00617112" w:rsidRPr="004B546E">
        <w:rPr>
          <w:rFonts w:ascii="Times New Roman" w:hAnsi="Times New Roman" w:cs="Times New Roman" w:hint="eastAsia"/>
          <w:color w:val="000000" w:themeColor="text1"/>
        </w:rPr>
        <w:t xml:space="preserve"> [</w:t>
      </w:r>
      <w:r w:rsidR="00D152B9" w:rsidRPr="004B546E">
        <w:rPr>
          <w:rFonts w:ascii="Times New Roman" w:hAnsi="Times New Roman" w:cs="Times New Roman"/>
          <w:color w:val="000000" w:themeColor="text1"/>
        </w:rPr>
        <w:t>25</w:t>
      </w:r>
      <w:r w:rsidR="00617112"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RR (19.4) for contrast extravasation likely reflects standard-length catheter vulnerability compounded by high-pressure injection during CT contrast administration; Bridey et al</w:t>
      </w:r>
      <w:r w:rsidR="00BA5142"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16</w:t>
      </w:r>
      <w:r w:rsidR="00BA5142"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observed a more modest but still concerning trend (34% vs 18%, p = 0.094) in an ICU setting where USG catheters were also larger gauge (18G vs 21G, p = 0.059), which may have contributed independently to vessel wall trauma.</w:t>
      </w:r>
    </w:p>
    <w:p w14:paraId="74A06242" w14:textId="77777777" w:rsidR="0002327D" w:rsidRPr="004B546E" w:rsidRDefault="0002327D" w:rsidP="00CD1F3F">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14:paraId="47E67CE8" w14:textId="476284D5" w:rsidR="0002327D" w:rsidRPr="004B546E" w:rsidRDefault="0002327D" w:rsidP="00CD1F3F">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The subgroup analysis by age group generated a hypothesis worth noting in the context of future research. Among adult studies (k = 3), the pooled RR was 1.28 (95% CI 1.02–1.60; p = 0.03)</w:t>
      </w:r>
      <w:r w:rsidR="0011305E" w:rsidRPr="004B546E">
        <w:rPr>
          <w:rFonts w:ascii="Times New Roman" w:hAnsi="Times New Roman" w:cs="Times New Roman" w:hint="eastAsia"/>
          <w:color w:val="000000" w:themeColor="text1"/>
        </w:rPr>
        <w:t xml:space="preserve"> (</w:t>
      </w:r>
      <w:r w:rsidR="0011305E" w:rsidRPr="004B546E">
        <w:rPr>
          <w:rFonts w:ascii="Times New Roman" w:hAnsi="Times New Roman" w:cs="Times New Roman" w:hint="eastAsia"/>
          <w:b/>
          <w:bCs/>
          <w:color w:val="000000" w:themeColor="text1"/>
        </w:rPr>
        <w:t>F</w:t>
      </w:r>
      <w:r w:rsidR="0011305E" w:rsidRPr="004B546E">
        <w:rPr>
          <w:rFonts w:ascii="Times New Roman" w:hAnsi="Times New Roman" w:cs="Times New Roman"/>
          <w:b/>
          <w:bCs/>
          <w:color w:val="000000" w:themeColor="text1"/>
        </w:rPr>
        <w:t>igure 5</w:t>
      </w:r>
      <w:r w:rsidR="0011305E"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with the point estimate trending unfavourably for USG. A biomechanically plausible explanation exists: USG targets deeper veins that may be more prone to catheter tip migration with standard-length catheters. In contrast, the single paediatric study (Kleidon et al., 2025)</w:t>
      </w:r>
      <w:r w:rsidR="00861784"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11</w:t>
      </w:r>
      <w:r w:rsidR="00861784"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showed no difference (RR 0.95). However, the subgroup interaction test was not significant (p = 0.32), the adult subgroup includes a conference abstract (Saltarelli et al., 2015)</w:t>
      </w:r>
      <w:r w:rsidR="00861784"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26</w:t>
      </w:r>
      <w:r w:rsidR="00861784"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with limited methodological detail, and overall GRADE certainty is low. This result should therefore be characterised as an exploratory signal requiring confirmation in adequately powered prospective studies, rather than as evidence of harm.</w:t>
      </w:r>
    </w:p>
    <w:p w14:paraId="70529EBB" w14:textId="3E4DF026" w:rsidR="0002327D" w:rsidRPr="004B546E" w:rsidRDefault="0002327D" w:rsidP="0002327D">
      <w:pPr>
        <w:rPr>
          <w:rFonts w:ascii="Times New Roman" w:hAnsi="Times New Roman" w:cs="Times New Roman"/>
          <w:color w:val="000000" w:themeColor="text1"/>
        </w:rPr>
      </w:pPr>
      <w:r w:rsidRPr="004B546E">
        <w:rPr>
          <w:rFonts w:ascii="Times New Roman" w:hAnsi="Times New Roman" w:cs="Times New Roman"/>
          <w:color w:val="000000" w:themeColor="text1"/>
        </w:rPr>
        <w:t>As reported above (Results, Catheter Failure), the post-hoc design-stratified analysis showed that the borderline overall failure signal arose from the cohort studies (RR 1.29, 95% CI 1.02–1.63) while the RCT-only estimate was flat (RR 1.03, 95% CI 0.66–1.61). The Feinsmith et al. (2021) study</w:t>
      </w:r>
      <w:r w:rsidR="002F014E"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19</w:t>
      </w:r>
      <w:r w:rsidR="002F014E"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w:t>
      </w:r>
      <w:r w:rsidR="00593274"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illustrating one source of the divergence between cohort-driven and RCT-driven estimates.</w:t>
      </w:r>
    </w:p>
    <w:p w14:paraId="2CA04C98" w14:textId="45A773CC" w:rsidR="0002327D" w:rsidRPr="004B546E" w:rsidRDefault="0002327D" w:rsidP="00CD1F3F">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This review has several important limitations. First, the evidence base is small and heterogeneous, comprising only five RCTs and nine cohort studies with varied populations, settings, outcome definitions, and follow-up durations. Second, inter-rater agreement for title/abstract screening was fair (Cohen’s kappa = 0.330; percent agreement 95.8%), reflecting the κ paradox under high exclusion prevalence11 rather than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systematic reviews</w:t>
      </w:r>
      <w:r w:rsidR="00D414C2"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4-6 (no eligible studies missed) and an audit trail of all second-pass decisions. Third, four studies had major confounding by catheter type or selection, necessitating their exclusion from pooled analyses. Fourth, Saltarelli et al. (2015)</w:t>
      </w:r>
      <w:r w:rsidR="006C23AD"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26</w:t>
      </w:r>
      <w:r w:rsidR="006C23AD"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was available only as a conference abstract with limited methodological detail. Fifth, Varghese et al. (2025)</w:t>
      </w:r>
      <w:r w:rsidR="00F05E0F"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17</w:t>
      </w:r>
      <w:r w:rsidR="00F05E0F"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xml:space="preserve"> employed only a two-hour follow-up, which is insufficient to capture most post-insertion complications. Sixth, Leroux et al. (2023) was substantially underpowered due to COVID-19-related recruitment challenges. Seventh, formal assessment of publication bias was not possible because fewer than 10 studies contributed to any single meta-analysis. Finally, the overall certainty of evidence as assessed by the GRADE framework ranged from low to very low across all outcomes</w:t>
      </w:r>
      <w:r w:rsidR="001116A8" w:rsidRPr="004B546E">
        <w:rPr>
          <w:rFonts w:ascii="Times New Roman" w:hAnsi="Times New Roman" w:cs="Times New Roman"/>
          <w:color w:val="000000" w:themeColor="text1"/>
        </w:rPr>
        <w:t xml:space="preserve"> [</w:t>
      </w:r>
      <w:r w:rsidR="00D152B9" w:rsidRPr="004B546E">
        <w:rPr>
          <w:rFonts w:ascii="Times New Roman" w:hAnsi="Times New Roman" w:cs="Times New Roman"/>
          <w:color w:val="000000" w:themeColor="text1"/>
        </w:rPr>
        <w:t>30</w:t>
      </w:r>
      <w:r w:rsidR="001116A8" w:rsidRPr="004B546E">
        <w:rPr>
          <w:rFonts w:ascii="Times New Roman" w:hAnsi="Times New Roman" w:cs="Times New Roman"/>
          <w:color w:val="000000" w:themeColor="text1"/>
        </w:rPr>
        <w:t>]</w:t>
      </w:r>
      <w:r w:rsidRPr="004B546E">
        <w:rPr>
          <w:rFonts w:ascii="Times New Roman" w:hAnsi="Times New Roman" w:cs="Times New Roman"/>
          <w:color w:val="000000" w:themeColor="text1"/>
        </w:rPr>
        <w:t>, reflecting the predominance of observational studies, serious imprecision, and the limitations of the available RCTs.</w:t>
      </w:r>
    </w:p>
    <w:p w14:paraId="1CA722FC" w14:textId="0B1933F2" w:rsidR="0002327D" w:rsidRPr="004B546E" w:rsidRDefault="0002327D" w:rsidP="0002327D">
      <w:pPr>
        <w:rPr>
          <w:rFonts w:ascii="Times New Roman" w:hAnsi="Times New Roman" w:cs="Times New Roman"/>
          <w:b/>
          <w:bCs/>
          <w:color w:val="000000" w:themeColor="text1"/>
        </w:rPr>
      </w:pPr>
      <w:r w:rsidRPr="004B546E">
        <w:rPr>
          <w:rFonts w:ascii="Times New Roman" w:hAnsi="Times New Roman" w:cs="Times New Roman"/>
          <w:b/>
          <w:bCs/>
          <w:color w:val="000000" w:themeColor="text1"/>
        </w:rPr>
        <w:t>Clinical Implications</w:t>
      </w:r>
    </w:p>
    <w:p w14:paraId="79BF70A6" w14:textId="77777777" w:rsidR="006F578B" w:rsidRPr="004B546E" w:rsidRDefault="006F578B" w:rsidP="00622EF2">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14:paraId="52532326" w14:textId="0D89C7B7" w:rsidR="00622EF2" w:rsidRPr="004B546E" w:rsidRDefault="00622EF2" w:rsidP="00622EF2">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14:paraId="45F3F06E" w14:textId="77777777" w:rsidR="00CD1F3F" w:rsidRPr="004B546E" w:rsidRDefault="00CD1F3F" w:rsidP="00B101E0">
      <w:pPr>
        <w:rPr>
          <w:rFonts w:ascii="Times New Roman" w:hAnsi="Times New Roman" w:cs="Times New Roman"/>
          <w:b/>
          <w:bCs/>
          <w:color w:val="000000" w:themeColor="text1"/>
        </w:rPr>
      </w:pPr>
    </w:p>
    <w:p w14:paraId="64EC5259" w14:textId="77777777" w:rsidR="00CD1F3F" w:rsidRPr="004B546E" w:rsidRDefault="00CD1F3F" w:rsidP="00B101E0">
      <w:pPr>
        <w:rPr>
          <w:rFonts w:ascii="Times New Roman" w:hAnsi="Times New Roman" w:cs="Times New Roman"/>
          <w:b/>
          <w:bCs/>
          <w:color w:val="000000" w:themeColor="text1"/>
        </w:rPr>
      </w:pPr>
    </w:p>
    <w:p w14:paraId="3EBB4E64" w14:textId="77777777" w:rsidR="00CD1F3F" w:rsidRPr="004B546E" w:rsidRDefault="00CD1F3F" w:rsidP="00B101E0">
      <w:pPr>
        <w:rPr>
          <w:rFonts w:ascii="Times New Roman" w:hAnsi="Times New Roman" w:cs="Times New Roman"/>
          <w:b/>
          <w:bCs/>
          <w:color w:val="000000" w:themeColor="text1"/>
        </w:rPr>
      </w:pPr>
    </w:p>
    <w:p w14:paraId="53D9256D" w14:textId="77777777" w:rsidR="00CD1F3F" w:rsidRPr="004B546E" w:rsidRDefault="00CD1F3F" w:rsidP="00B101E0">
      <w:pPr>
        <w:rPr>
          <w:rFonts w:ascii="Times New Roman" w:hAnsi="Times New Roman" w:cs="Times New Roman"/>
          <w:b/>
          <w:bCs/>
          <w:color w:val="000000" w:themeColor="text1"/>
        </w:rPr>
      </w:pPr>
    </w:p>
    <w:p w14:paraId="0D6658FF" w14:textId="77777777" w:rsidR="00CD1F3F" w:rsidRPr="004B546E" w:rsidRDefault="00CD1F3F" w:rsidP="00B101E0">
      <w:pPr>
        <w:rPr>
          <w:rFonts w:ascii="Times New Roman" w:hAnsi="Times New Roman" w:cs="Times New Roman"/>
          <w:b/>
          <w:bCs/>
          <w:color w:val="000000" w:themeColor="text1"/>
        </w:rPr>
      </w:pPr>
    </w:p>
    <w:p w14:paraId="4931B21A" w14:textId="77777777" w:rsidR="00CD1F3F" w:rsidRPr="004B546E" w:rsidRDefault="00CD1F3F" w:rsidP="00B101E0">
      <w:pPr>
        <w:rPr>
          <w:rFonts w:ascii="Times New Roman" w:hAnsi="Times New Roman" w:cs="Times New Roman"/>
          <w:b/>
          <w:bCs/>
          <w:color w:val="000000" w:themeColor="text1"/>
        </w:rPr>
      </w:pPr>
    </w:p>
    <w:p w14:paraId="62AB2A8D" w14:textId="77777777" w:rsidR="00CD1F3F" w:rsidRPr="004B546E" w:rsidRDefault="00CD1F3F" w:rsidP="00B101E0">
      <w:pPr>
        <w:rPr>
          <w:rFonts w:ascii="Times New Roman" w:hAnsi="Times New Roman" w:cs="Times New Roman"/>
          <w:b/>
          <w:bCs/>
          <w:color w:val="000000" w:themeColor="text1"/>
        </w:rPr>
      </w:pPr>
    </w:p>
    <w:p w14:paraId="328D2CC1" w14:textId="77777777" w:rsidR="00CD1F3F" w:rsidRPr="004B546E" w:rsidRDefault="00CD1F3F" w:rsidP="00B101E0">
      <w:pPr>
        <w:rPr>
          <w:rFonts w:ascii="Times New Roman" w:hAnsi="Times New Roman" w:cs="Times New Roman"/>
          <w:b/>
          <w:bCs/>
          <w:color w:val="000000" w:themeColor="text1"/>
        </w:rPr>
      </w:pPr>
    </w:p>
    <w:p w14:paraId="6B0C3E04" w14:textId="77777777" w:rsidR="00CD1F3F" w:rsidRPr="004B546E" w:rsidRDefault="00CD1F3F" w:rsidP="00B101E0">
      <w:pPr>
        <w:rPr>
          <w:rFonts w:ascii="Times New Roman" w:hAnsi="Times New Roman" w:cs="Times New Roman"/>
          <w:b/>
          <w:bCs/>
          <w:color w:val="000000" w:themeColor="text1"/>
        </w:rPr>
      </w:pPr>
    </w:p>
    <w:p w14:paraId="4BB0C778" w14:textId="77777777" w:rsidR="00CD1F3F" w:rsidRPr="004B546E" w:rsidRDefault="00CD1F3F" w:rsidP="00B101E0">
      <w:pPr>
        <w:rPr>
          <w:rFonts w:ascii="Times New Roman" w:hAnsi="Times New Roman" w:cs="Times New Roman"/>
          <w:b/>
          <w:bCs/>
          <w:color w:val="000000" w:themeColor="text1"/>
        </w:rPr>
      </w:pPr>
    </w:p>
    <w:p w14:paraId="720DBAD9" w14:textId="77777777" w:rsidR="00CD1F3F" w:rsidRPr="004B546E" w:rsidRDefault="00CD1F3F" w:rsidP="00B101E0">
      <w:pPr>
        <w:rPr>
          <w:rFonts w:ascii="Times New Roman" w:hAnsi="Times New Roman" w:cs="Times New Roman"/>
          <w:b/>
          <w:bCs/>
          <w:color w:val="000000" w:themeColor="text1"/>
        </w:rPr>
      </w:pPr>
    </w:p>
    <w:p w14:paraId="2F99FB06" w14:textId="77777777" w:rsidR="00CD1F3F" w:rsidRPr="004B546E" w:rsidRDefault="00CD1F3F" w:rsidP="00B101E0">
      <w:pPr>
        <w:rPr>
          <w:rFonts w:ascii="Times New Roman" w:hAnsi="Times New Roman" w:cs="Times New Roman"/>
          <w:b/>
          <w:bCs/>
          <w:color w:val="000000" w:themeColor="text1"/>
        </w:rPr>
      </w:pPr>
    </w:p>
    <w:p w14:paraId="49DEA5BA" w14:textId="77777777" w:rsidR="00CD1F3F" w:rsidRPr="004B546E" w:rsidRDefault="00CD1F3F" w:rsidP="00B101E0">
      <w:pPr>
        <w:rPr>
          <w:rFonts w:ascii="Times New Roman" w:hAnsi="Times New Roman" w:cs="Times New Roman"/>
          <w:b/>
          <w:bCs/>
          <w:color w:val="000000" w:themeColor="text1"/>
        </w:rPr>
      </w:pPr>
    </w:p>
    <w:p w14:paraId="7CAB4A95" w14:textId="77777777" w:rsidR="00CD1F3F" w:rsidRPr="004B546E" w:rsidRDefault="00CD1F3F" w:rsidP="00B101E0">
      <w:pPr>
        <w:rPr>
          <w:rFonts w:ascii="Times New Roman" w:hAnsi="Times New Roman" w:cs="Times New Roman"/>
          <w:b/>
          <w:bCs/>
          <w:color w:val="000000" w:themeColor="text1"/>
        </w:rPr>
      </w:pPr>
    </w:p>
    <w:p w14:paraId="44D39DA0" w14:textId="77777777" w:rsidR="00CD1F3F" w:rsidRPr="004B546E" w:rsidRDefault="00CD1F3F" w:rsidP="00B101E0">
      <w:pPr>
        <w:rPr>
          <w:rFonts w:ascii="Times New Roman" w:hAnsi="Times New Roman" w:cs="Times New Roman"/>
          <w:b/>
          <w:bCs/>
          <w:color w:val="000000" w:themeColor="text1"/>
        </w:rPr>
      </w:pPr>
    </w:p>
    <w:p w14:paraId="554774AC" w14:textId="77777777" w:rsidR="00CD1F3F" w:rsidRPr="004B546E" w:rsidRDefault="00CD1F3F" w:rsidP="00B101E0">
      <w:pPr>
        <w:rPr>
          <w:rFonts w:ascii="Times New Roman" w:hAnsi="Times New Roman" w:cs="Times New Roman"/>
          <w:b/>
          <w:bCs/>
          <w:color w:val="000000" w:themeColor="text1"/>
        </w:rPr>
      </w:pPr>
    </w:p>
    <w:p w14:paraId="7596D636" w14:textId="77777777" w:rsidR="00CD1F3F" w:rsidRPr="004B546E" w:rsidRDefault="00CD1F3F" w:rsidP="00B101E0">
      <w:pPr>
        <w:rPr>
          <w:rFonts w:ascii="Times New Roman" w:hAnsi="Times New Roman" w:cs="Times New Roman"/>
          <w:b/>
          <w:bCs/>
          <w:color w:val="000000" w:themeColor="text1"/>
        </w:rPr>
      </w:pPr>
    </w:p>
    <w:p w14:paraId="68B4F8C3" w14:textId="77777777" w:rsidR="00CD1F3F" w:rsidRPr="004B546E" w:rsidRDefault="00CD1F3F" w:rsidP="00B101E0">
      <w:pPr>
        <w:rPr>
          <w:rFonts w:ascii="Times New Roman" w:hAnsi="Times New Roman" w:cs="Times New Roman"/>
          <w:b/>
          <w:bCs/>
          <w:color w:val="000000" w:themeColor="text1"/>
        </w:rPr>
      </w:pPr>
    </w:p>
    <w:p w14:paraId="12D9B4E9" w14:textId="77777777" w:rsidR="00CD1F3F" w:rsidRPr="004B546E" w:rsidRDefault="00CD1F3F" w:rsidP="00B101E0">
      <w:pPr>
        <w:rPr>
          <w:rFonts w:ascii="Times New Roman" w:hAnsi="Times New Roman" w:cs="Times New Roman"/>
          <w:b/>
          <w:bCs/>
          <w:color w:val="000000" w:themeColor="text1"/>
        </w:rPr>
      </w:pPr>
    </w:p>
    <w:p w14:paraId="5FF7A42F" w14:textId="77777777" w:rsidR="00CD1F3F" w:rsidRPr="004B546E" w:rsidRDefault="00CD1F3F" w:rsidP="00B101E0">
      <w:pPr>
        <w:rPr>
          <w:rFonts w:ascii="Times New Roman" w:hAnsi="Times New Roman" w:cs="Times New Roman"/>
          <w:b/>
          <w:bCs/>
          <w:color w:val="000000" w:themeColor="text1"/>
        </w:rPr>
      </w:pPr>
    </w:p>
    <w:p w14:paraId="726E9084" w14:textId="77777777" w:rsidR="00CD1F3F" w:rsidRPr="004B546E" w:rsidRDefault="00CD1F3F" w:rsidP="00B101E0">
      <w:pPr>
        <w:rPr>
          <w:rFonts w:ascii="Times New Roman" w:hAnsi="Times New Roman" w:cs="Times New Roman"/>
          <w:b/>
          <w:bCs/>
          <w:color w:val="000000" w:themeColor="text1"/>
        </w:rPr>
      </w:pPr>
    </w:p>
    <w:p w14:paraId="3C9C8A59" w14:textId="77777777" w:rsidR="00CD1F3F" w:rsidRPr="004B546E" w:rsidRDefault="00CD1F3F" w:rsidP="00B101E0">
      <w:pPr>
        <w:rPr>
          <w:rFonts w:ascii="Times New Roman" w:hAnsi="Times New Roman" w:cs="Times New Roman"/>
          <w:b/>
          <w:bCs/>
          <w:color w:val="000000" w:themeColor="text1"/>
        </w:rPr>
      </w:pPr>
    </w:p>
    <w:p w14:paraId="74DD5B06" w14:textId="77777777" w:rsidR="00CD1F3F" w:rsidRPr="004B546E" w:rsidRDefault="00CD1F3F" w:rsidP="00B101E0">
      <w:pPr>
        <w:rPr>
          <w:rFonts w:ascii="Times New Roman" w:hAnsi="Times New Roman" w:cs="Times New Roman"/>
          <w:b/>
          <w:bCs/>
          <w:color w:val="000000" w:themeColor="text1"/>
        </w:rPr>
      </w:pPr>
    </w:p>
    <w:p w14:paraId="12EB5AE8" w14:textId="77777777" w:rsidR="00CD1F3F" w:rsidRPr="004B546E" w:rsidRDefault="00CD1F3F" w:rsidP="00B101E0">
      <w:pPr>
        <w:rPr>
          <w:rFonts w:ascii="Times New Roman" w:hAnsi="Times New Roman" w:cs="Times New Roman"/>
          <w:b/>
          <w:bCs/>
          <w:color w:val="000000" w:themeColor="text1"/>
        </w:rPr>
      </w:pPr>
    </w:p>
    <w:p w14:paraId="488A51F1" w14:textId="77777777" w:rsidR="00CD1F3F" w:rsidRPr="004B546E" w:rsidRDefault="00CD1F3F" w:rsidP="00B101E0">
      <w:pPr>
        <w:rPr>
          <w:rFonts w:ascii="Times New Roman" w:hAnsi="Times New Roman" w:cs="Times New Roman"/>
          <w:b/>
          <w:bCs/>
          <w:color w:val="000000" w:themeColor="text1"/>
        </w:rPr>
      </w:pPr>
    </w:p>
    <w:p w14:paraId="43A54E9A" w14:textId="77777777" w:rsidR="00CD1F3F" w:rsidRPr="004B546E" w:rsidRDefault="00CD1F3F" w:rsidP="00B101E0">
      <w:pPr>
        <w:rPr>
          <w:rFonts w:ascii="Times New Roman" w:hAnsi="Times New Roman" w:cs="Times New Roman"/>
          <w:b/>
          <w:bCs/>
          <w:color w:val="000000" w:themeColor="text1"/>
        </w:rPr>
      </w:pPr>
    </w:p>
    <w:p w14:paraId="250E4FF8" w14:textId="77777777" w:rsidR="00CD1F3F" w:rsidRPr="004B546E" w:rsidRDefault="00CD1F3F" w:rsidP="00B101E0">
      <w:pPr>
        <w:rPr>
          <w:rFonts w:ascii="Times New Roman" w:hAnsi="Times New Roman" w:cs="Times New Roman"/>
          <w:b/>
          <w:bCs/>
          <w:color w:val="000000" w:themeColor="text1"/>
        </w:rPr>
      </w:pPr>
    </w:p>
    <w:p w14:paraId="0193898E" w14:textId="77777777" w:rsidR="00CD1F3F" w:rsidRPr="004B546E" w:rsidRDefault="00CD1F3F" w:rsidP="00B101E0">
      <w:pPr>
        <w:rPr>
          <w:rFonts w:ascii="Times New Roman" w:hAnsi="Times New Roman" w:cs="Times New Roman"/>
          <w:b/>
          <w:bCs/>
          <w:color w:val="000000" w:themeColor="text1"/>
        </w:rPr>
      </w:pPr>
    </w:p>
    <w:p w14:paraId="5ED09813" w14:textId="77777777" w:rsidR="00CD1F3F" w:rsidRPr="004B546E" w:rsidRDefault="00CD1F3F" w:rsidP="00B101E0">
      <w:pPr>
        <w:rPr>
          <w:rFonts w:ascii="Times New Roman" w:hAnsi="Times New Roman" w:cs="Times New Roman"/>
          <w:b/>
          <w:bCs/>
          <w:color w:val="000000" w:themeColor="text1"/>
        </w:rPr>
      </w:pPr>
    </w:p>
    <w:p w14:paraId="2057C501" w14:textId="77777777" w:rsidR="00CD1F3F" w:rsidRPr="004B546E" w:rsidRDefault="00CD1F3F" w:rsidP="00B101E0">
      <w:pPr>
        <w:rPr>
          <w:rFonts w:ascii="Times New Roman" w:hAnsi="Times New Roman" w:cs="Times New Roman"/>
          <w:b/>
          <w:bCs/>
          <w:color w:val="000000" w:themeColor="text1"/>
        </w:rPr>
      </w:pPr>
    </w:p>
    <w:p w14:paraId="0584F378" w14:textId="77777777" w:rsidR="00CD1F3F" w:rsidRPr="004B546E" w:rsidRDefault="00CD1F3F" w:rsidP="00B101E0">
      <w:pPr>
        <w:rPr>
          <w:rFonts w:ascii="Times New Roman" w:hAnsi="Times New Roman" w:cs="Times New Roman"/>
          <w:b/>
          <w:bCs/>
          <w:color w:val="000000" w:themeColor="text1"/>
        </w:rPr>
      </w:pPr>
    </w:p>
    <w:p w14:paraId="4BC82FEB" w14:textId="77777777" w:rsidR="00CD1F3F" w:rsidRPr="004B546E" w:rsidRDefault="00CD1F3F" w:rsidP="00B101E0">
      <w:pPr>
        <w:rPr>
          <w:rFonts w:ascii="Times New Roman" w:hAnsi="Times New Roman" w:cs="Times New Roman"/>
          <w:b/>
          <w:bCs/>
          <w:color w:val="000000" w:themeColor="text1"/>
        </w:rPr>
      </w:pPr>
    </w:p>
    <w:p w14:paraId="7C18E475" w14:textId="77777777" w:rsidR="00CD1F3F" w:rsidRPr="004B546E" w:rsidRDefault="00CD1F3F" w:rsidP="00B101E0">
      <w:pPr>
        <w:rPr>
          <w:rFonts w:ascii="Times New Roman" w:hAnsi="Times New Roman" w:cs="Times New Roman"/>
          <w:b/>
          <w:bCs/>
          <w:color w:val="000000" w:themeColor="text1"/>
        </w:rPr>
      </w:pPr>
    </w:p>
    <w:p w14:paraId="65A547A9" w14:textId="77777777" w:rsidR="00CD1F3F" w:rsidRPr="004B546E" w:rsidRDefault="00CD1F3F" w:rsidP="00B101E0">
      <w:pPr>
        <w:rPr>
          <w:rFonts w:ascii="Times New Roman" w:hAnsi="Times New Roman" w:cs="Times New Roman"/>
          <w:b/>
          <w:bCs/>
          <w:color w:val="000000" w:themeColor="text1"/>
        </w:rPr>
      </w:pPr>
    </w:p>
    <w:p w14:paraId="70E8BAEC" w14:textId="77777777" w:rsidR="00CD1F3F" w:rsidRPr="004B546E" w:rsidRDefault="00CD1F3F" w:rsidP="00B101E0">
      <w:pPr>
        <w:rPr>
          <w:rFonts w:ascii="Times New Roman" w:hAnsi="Times New Roman" w:cs="Times New Roman"/>
          <w:b/>
          <w:bCs/>
          <w:color w:val="000000" w:themeColor="text1"/>
        </w:rPr>
      </w:pPr>
    </w:p>
    <w:p w14:paraId="65215897" w14:textId="77777777" w:rsidR="00CD1F3F" w:rsidRPr="004B546E" w:rsidRDefault="00CD1F3F" w:rsidP="00B101E0">
      <w:pPr>
        <w:rPr>
          <w:rFonts w:ascii="Times New Roman" w:hAnsi="Times New Roman" w:cs="Times New Roman"/>
          <w:b/>
          <w:bCs/>
          <w:color w:val="000000" w:themeColor="text1"/>
        </w:rPr>
      </w:pPr>
    </w:p>
    <w:p w14:paraId="68D40241" w14:textId="77777777" w:rsidR="00CD1F3F" w:rsidRPr="004B546E" w:rsidRDefault="00CD1F3F" w:rsidP="00B101E0">
      <w:pPr>
        <w:rPr>
          <w:rFonts w:ascii="Times New Roman" w:hAnsi="Times New Roman" w:cs="Times New Roman"/>
          <w:b/>
          <w:bCs/>
          <w:color w:val="000000" w:themeColor="text1"/>
        </w:rPr>
      </w:pPr>
    </w:p>
    <w:p w14:paraId="2413429C" w14:textId="77777777" w:rsidR="00CD1F3F" w:rsidRPr="004B546E" w:rsidRDefault="00CD1F3F" w:rsidP="00B101E0">
      <w:pPr>
        <w:rPr>
          <w:rFonts w:ascii="Times New Roman" w:hAnsi="Times New Roman" w:cs="Times New Roman"/>
          <w:b/>
          <w:bCs/>
          <w:color w:val="000000" w:themeColor="text1"/>
        </w:rPr>
      </w:pPr>
    </w:p>
    <w:p w14:paraId="1CD32466" w14:textId="77777777" w:rsidR="00CD1F3F" w:rsidRPr="004B546E" w:rsidRDefault="00CD1F3F" w:rsidP="00B101E0">
      <w:pPr>
        <w:rPr>
          <w:rFonts w:ascii="Times New Roman" w:hAnsi="Times New Roman" w:cs="Times New Roman"/>
          <w:b/>
          <w:bCs/>
          <w:color w:val="000000" w:themeColor="text1"/>
        </w:rPr>
      </w:pPr>
    </w:p>
    <w:p w14:paraId="7DCF4364" w14:textId="77777777" w:rsidR="00CD1F3F" w:rsidRPr="004B546E" w:rsidRDefault="00CD1F3F" w:rsidP="00B101E0">
      <w:pPr>
        <w:rPr>
          <w:rFonts w:ascii="Times New Roman" w:hAnsi="Times New Roman" w:cs="Times New Roman"/>
          <w:b/>
          <w:bCs/>
          <w:color w:val="000000" w:themeColor="text1"/>
        </w:rPr>
      </w:pPr>
    </w:p>
    <w:p w14:paraId="63036FE1" w14:textId="77777777" w:rsidR="00CD1F3F" w:rsidRPr="004B546E" w:rsidRDefault="00CD1F3F" w:rsidP="00B101E0">
      <w:pPr>
        <w:rPr>
          <w:rFonts w:ascii="Times New Roman" w:hAnsi="Times New Roman" w:cs="Times New Roman"/>
          <w:b/>
          <w:bCs/>
          <w:color w:val="000000" w:themeColor="text1"/>
        </w:rPr>
      </w:pPr>
    </w:p>
    <w:p w14:paraId="7D77E514" w14:textId="77777777" w:rsidR="00CD1F3F" w:rsidRPr="004B546E" w:rsidRDefault="00CD1F3F" w:rsidP="00B101E0">
      <w:pPr>
        <w:rPr>
          <w:rFonts w:ascii="Times New Roman" w:hAnsi="Times New Roman" w:cs="Times New Roman"/>
          <w:b/>
          <w:bCs/>
          <w:color w:val="000000" w:themeColor="text1"/>
        </w:rPr>
      </w:pPr>
    </w:p>
    <w:p w14:paraId="325B1900" w14:textId="77777777" w:rsidR="00CD1F3F" w:rsidRPr="004B546E" w:rsidRDefault="00CD1F3F" w:rsidP="00B101E0">
      <w:pPr>
        <w:rPr>
          <w:rFonts w:ascii="Times New Roman" w:hAnsi="Times New Roman" w:cs="Times New Roman"/>
          <w:b/>
          <w:bCs/>
          <w:color w:val="000000" w:themeColor="text1"/>
        </w:rPr>
      </w:pPr>
    </w:p>
    <w:p w14:paraId="716C4452" w14:textId="7B9C32F0" w:rsidR="0002327D" w:rsidRPr="004B546E" w:rsidRDefault="0002327D" w:rsidP="00B101E0">
      <w:pPr>
        <w:rPr>
          <w:rFonts w:ascii="Times New Roman" w:hAnsi="Times New Roman" w:cs="Times New Roman"/>
          <w:b/>
          <w:bCs/>
          <w:color w:val="000000" w:themeColor="text1"/>
        </w:rPr>
      </w:pPr>
      <w:r w:rsidRPr="004B546E">
        <w:rPr>
          <w:rFonts w:ascii="Times New Roman" w:hAnsi="Times New Roman" w:cs="Times New Roman" w:hint="eastAsia"/>
          <w:b/>
          <w:bCs/>
          <w:color w:val="000000" w:themeColor="text1"/>
        </w:rPr>
        <w:t>C</w:t>
      </w:r>
      <w:r w:rsidRPr="004B546E">
        <w:rPr>
          <w:rFonts w:ascii="Times New Roman" w:hAnsi="Times New Roman" w:cs="Times New Roman"/>
          <w:b/>
          <w:bCs/>
          <w:color w:val="000000" w:themeColor="text1"/>
        </w:rPr>
        <w:t>onclusion</w:t>
      </w:r>
    </w:p>
    <w:p w14:paraId="5B81A484" w14:textId="56E21923" w:rsidR="0002327D" w:rsidRPr="004B546E" w:rsidRDefault="0002327D" w:rsidP="00622EF2">
      <w:pPr>
        <w:ind w:firstLineChars="200" w:firstLine="480"/>
        <w:rPr>
          <w:rFonts w:ascii="Times New Roman" w:hAnsi="Times New Roman" w:cs="Times New Roman"/>
          <w:color w:val="000000" w:themeColor="text1"/>
        </w:rPr>
      </w:pPr>
      <w:r w:rsidRPr="004B546E">
        <w:rPr>
          <w:rFonts w:ascii="Times New Roman" w:hAnsi="Times New Roman" w:cs="Times New Roman"/>
          <w:color w:val="000000" w:themeColor="text1"/>
        </w:rPr>
        <w:t>This systematic review and meta-analysis of 14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0.99–1.51; p = 0.056). Dwell time results were heterogeneous (I² = 91.9%) and could not be pooled, with one study showing significant benefit and two showing no difference. In adult patients specifically, the pooled RR for catheter failure trended unfavourably for USG (RR 1.28, 95% CI 1.02–1.60; p = 0.03), though the subgroup interaction test was non-significant (p = 0.32) and this result is best considered hypothesis-generating given the small number of studies and low certainty of evidence.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favourable USG results were confounded by systematic differences in catheter length and type, highlighting that catheter selection</w:t>
      </w:r>
      <w:r w:rsidR="004211DD"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not the guidance modality</w:t>
      </w:r>
      <w:r w:rsidR="004211DD" w:rsidRPr="004B546E">
        <w:rPr>
          <w:rFonts w:ascii="Times New Roman" w:hAnsi="Times New Roman" w:cs="Times New Roman"/>
          <w:color w:val="000000" w:themeColor="text1"/>
        </w:rPr>
        <w:t xml:space="preserve">, </w:t>
      </w:r>
      <w:r w:rsidRPr="004B546E">
        <w:rPr>
          <w:rFonts w:ascii="Times New Roman" w:hAnsi="Times New Roman" w:cs="Times New Roman"/>
          <w:color w:val="000000" w:themeColor="text1"/>
        </w:rPr>
        <w:t>may be the primary determinant of post-insertion catheter performance. The current evidence more strongly supports the insertion-phase advantage of USG (well established in prior systematic reviews) than any consistent post-insertion advantage. Future adequately powered RCTs that control for catheter length, gauge, and material are essential to provide definitive evidence.</w:t>
      </w:r>
    </w:p>
    <w:p w14:paraId="45D92481" w14:textId="77777777" w:rsidR="00CD1F3F" w:rsidRPr="004B546E" w:rsidRDefault="00CD1F3F" w:rsidP="00A57FE9">
      <w:pPr>
        <w:rPr>
          <w:rFonts w:ascii="Times New Roman" w:hAnsi="Times New Roman" w:cs="Times New Roman"/>
          <w:b/>
          <w:bCs/>
          <w:color w:val="000000" w:themeColor="text1"/>
        </w:rPr>
      </w:pPr>
    </w:p>
    <w:p w14:paraId="429DA3F5" w14:textId="77777777" w:rsidR="00CD1F3F" w:rsidRPr="004B546E" w:rsidRDefault="00CD1F3F" w:rsidP="00A57FE9">
      <w:pPr>
        <w:rPr>
          <w:rFonts w:ascii="Times New Roman" w:hAnsi="Times New Roman" w:cs="Times New Roman"/>
          <w:b/>
          <w:bCs/>
          <w:color w:val="000000" w:themeColor="text1"/>
        </w:rPr>
      </w:pPr>
    </w:p>
    <w:p w14:paraId="20B95D07" w14:textId="77777777" w:rsidR="00CD1F3F" w:rsidRPr="004B546E" w:rsidRDefault="00CD1F3F" w:rsidP="00A57FE9">
      <w:pPr>
        <w:rPr>
          <w:rFonts w:ascii="Times New Roman" w:hAnsi="Times New Roman" w:cs="Times New Roman"/>
          <w:b/>
          <w:bCs/>
          <w:color w:val="000000" w:themeColor="text1"/>
        </w:rPr>
      </w:pPr>
    </w:p>
    <w:p w14:paraId="6882CDB1" w14:textId="77777777" w:rsidR="00CD1F3F" w:rsidRPr="004B546E" w:rsidRDefault="00CD1F3F" w:rsidP="00A57FE9">
      <w:pPr>
        <w:rPr>
          <w:rFonts w:ascii="Times New Roman" w:hAnsi="Times New Roman" w:cs="Times New Roman"/>
          <w:b/>
          <w:bCs/>
          <w:color w:val="000000" w:themeColor="text1"/>
        </w:rPr>
      </w:pPr>
    </w:p>
    <w:p w14:paraId="679A357D" w14:textId="77777777" w:rsidR="00CD1F3F" w:rsidRPr="004B546E" w:rsidRDefault="00CD1F3F" w:rsidP="00A57FE9">
      <w:pPr>
        <w:rPr>
          <w:rFonts w:ascii="Times New Roman" w:hAnsi="Times New Roman" w:cs="Times New Roman"/>
          <w:b/>
          <w:bCs/>
          <w:color w:val="000000" w:themeColor="text1"/>
        </w:rPr>
      </w:pPr>
    </w:p>
    <w:p w14:paraId="62C81C93" w14:textId="77777777" w:rsidR="00CD1F3F" w:rsidRPr="004B546E" w:rsidRDefault="00CD1F3F" w:rsidP="00A57FE9">
      <w:pPr>
        <w:rPr>
          <w:rFonts w:ascii="Times New Roman" w:hAnsi="Times New Roman" w:cs="Times New Roman"/>
          <w:b/>
          <w:bCs/>
          <w:color w:val="000000" w:themeColor="text1"/>
        </w:rPr>
      </w:pPr>
    </w:p>
    <w:p w14:paraId="56367B12" w14:textId="77777777" w:rsidR="00CD1F3F" w:rsidRPr="004B546E" w:rsidRDefault="00CD1F3F" w:rsidP="00A57FE9">
      <w:pPr>
        <w:rPr>
          <w:rFonts w:ascii="Times New Roman" w:hAnsi="Times New Roman" w:cs="Times New Roman"/>
          <w:b/>
          <w:bCs/>
          <w:color w:val="000000" w:themeColor="text1"/>
        </w:rPr>
      </w:pPr>
    </w:p>
    <w:p w14:paraId="6EC836C4" w14:textId="77777777" w:rsidR="00CD1F3F" w:rsidRPr="004B546E" w:rsidRDefault="00CD1F3F" w:rsidP="00A57FE9">
      <w:pPr>
        <w:rPr>
          <w:rFonts w:ascii="Times New Roman" w:hAnsi="Times New Roman" w:cs="Times New Roman"/>
          <w:b/>
          <w:bCs/>
          <w:color w:val="000000" w:themeColor="text1"/>
        </w:rPr>
      </w:pPr>
    </w:p>
    <w:p w14:paraId="592FA182" w14:textId="77777777" w:rsidR="00CD1F3F" w:rsidRPr="004B546E" w:rsidRDefault="00CD1F3F" w:rsidP="00A57FE9">
      <w:pPr>
        <w:rPr>
          <w:rFonts w:ascii="Times New Roman" w:hAnsi="Times New Roman" w:cs="Times New Roman"/>
          <w:b/>
          <w:bCs/>
          <w:color w:val="000000" w:themeColor="text1"/>
        </w:rPr>
      </w:pPr>
    </w:p>
    <w:p w14:paraId="1097D465" w14:textId="77777777" w:rsidR="00CD1F3F" w:rsidRPr="004B546E" w:rsidRDefault="00CD1F3F" w:rsidP="00A57FE9">
      <w:pPr>
        <w:rPr>
          <w:rFonts w:ascii="Times New Roman" w:hAnsi="Times New Roman" w:cs="Times New Roman"/>
          <w:b/>
          <w:bCs/>
          <w:color w:val="000000" w:themeColor="text1"/>
        </w:rPr>
      </w:pPr>
    </w:p>
    <w:p w14:paraId="63063A43" w14:textId="77777777" w:rsidR="00CD1F3F" w:rsidRPr="004B546E" w:rsidRDefault="00CD1F3F" w:rsidP="00A57FE9">
      <w:pPr>
        <w:rPr>
          <w:rFonts w:ascii="Times New Roman" w:hAnsi="Times New Roman" w:cs="Times New Roman"/>
          <w:b/>
          <w:bCs/>
          <w:color w:val="000000" w:themeColor="text1"/>
        </w:rPr>
      </w:pPr>
    </w:p>
    <w:p w14:paraId="7A0890D1" w14:textId="77777777" w:rsidR="00CD1F3F" w:rsidRPr="004B546E" w:rsidRDefault="00CD1F3F" w:rsidP="00A57FE9">
      <w:pPr>
        <w:rPr>
          <w:rFonts w:ascii="Times New Roman" w:hAnsi="Times New Roman" w:cs="Times New Roman"/>
          <w:b/>
          <w:bCs/>
          <w:color w:val="000000" w:themeColor="text1"/>
        </w:rPr>
      </w:pPr>
    </w:p>
    <w:p w14:paraId="1E332DCD" w14:textId="77777777" w:rsidR="00CD1F3F" w:rsidRPr="004B546E" w:rsidRDefault="00CD1F3F" w:rsidP="00A57FE9">
      <w:pPr>
        <w:rPr>
          <w:rFonts w:ascii="Times New Roman" w:hAnsi="Times New Roman" w:cs="Times New Roman"/>
          <w:b/>
          <w:bCs/>
          <w:color w:val="000000" w:themeColor="text1"/>
        </w:rPr>
      </w:pPr>
    </w:p>
    <w:p w14:paraId="7F543805" w14:textId="77777777" w:rsidR="00CD1F3F" w:rsidRPr="004B546E" w:rsidRDefault="00CD1F3F" w:rsidP="00A57FE9">
      <w:pPr>
        <w:rPr>
          <w:rFonts w:ascii="Times New Roman" w:hAnsi="Times New Roman" w:cs="Times New Roman"/>
          <w:b/>
          <w:bCs/>
          <w:color w:val="000000" w:themeColor="text1"/>
        </w:rPr>
      </w:pPr>
    </w:p>
    <w:p w14:paraId="68ADE201" w14:textId="77777777" w:rsidR="00CD1F3F" w:rsidRPr="004B546E" w:rsidRDefault="00CD1F3F" w:rsidP="00A57FE9">
      <w:pPr>
        <w:rPr>
          <w:rFonts w:ascii="Times New Roman" w:hAnsi="Times New Roman" w:cs="Times New Roman"/>
          <w:b/>
          <w:bCs/>
          <w:color w:val="000000" w:themeColor="text1"/>
        </w:rPr>
      </w:pPr>
    </w:p>
    <w:p w14:paraId="1101EB72" w14:textId="77777777" w:rsidR="00CD1F3F" w:rsidRPr="004B546E" w:rsidRDefault="00CD1F3F" w:rsidP="00A57FE9">
      <w:pPr>
        <w:rPr>
          <w:rFonts w:ascii="Times New Roman" w:hAnsi="Times New Roman" w:cs="Times New Roman"/>
          <w:b/>
          <w:bCs/>
          <w:color w:val="000000" w:themeColor="text1"/>
        </w:rPr>
      </w:pPr>
    </w:p>
    <w:p w14:paraId="7C0FD7B8" w14:textId="77777777" w:rsidR="00CD1F3F" w:rsidRPr="004B546E" w:rsidRDefault="00CD1F3F" w:rsidP="00A57FE9">
      <w:pPr>
        <w:rPr>
          <w:rFonts w:ascii="Times New Roman" w:hAnsi="Times New Roman" w:cs="Times New Roman"/>
          <w:b/>
          <w:bCs/>
          <w:color w:val="000000" w:themeColor="text1"/>
        </w:rPr>
      </w:pPr>
    </w:p>
    <w:p w14:paraId="011C5BDF" w14:textId="77777777" w:rsidR="00CD1F3F" w:rsidRPr="004B546E" w:rsidRDefault="00CD1F3F" w:rsidP="00A57FE9">
      <w:pPr>
        <w:rPr>
          <w:rFonts w:ascii="Times New Roman" w:hAnsi="Times New Roman" w:cs="Times New Roman"/>
          <w:b/>
          <w:bCs/>
          <w:color w:val="000000" w:themeColor="text1"/>
        </w:rPr>
      </w:pPr>
    </w:p>
    <w:p w14:paraId="04909F90" w14:textId="77777777" w:rsidR="00CD1F3F" w:rsidRPr="004B546E" w:rsidRDefault="00CD1F3F" w:rsidP="00A57FE9">
      <w:pPr>
        <w:rPr>
          <w:rFonts w:ascii="Times New Roman" w:hAnsi="Times New Roman" w:cs="Times New Roman"/>
          <w:b/>
          <w:bCs/>
          <w:color w:val="000000" w:themeColor="text1"/>
        </w:rPr>
      </w:pPr>
    </w:p>
    <w:p w14:paraId="0BADDB50" w14:textId="77777777" w:rsidR="00CD1F3F" w:rsidRPr="004B546E" w:rsidRDefault="00CD1F3F" w:rsidP="00A57FE9">
      <w:pPr>
        <w:rPr>
          <w:rFonts w:ascii="Times New Roman" w:hAnsi="Times New Roman" w:cs="Times New Roman"/>
          <w:b/>
          <w:bCs/>
          <w:color w:val="000000" w:themeColor="text1"/>
        </w:rPr>
      </w:pPr>
    </w:p>
    <w:p w14:paraId="0A07502F" w14:textId="77777777" w:rsidR="00CD1F3F" w:rsidRPr="004B546E" w:rsidRDefault="00CD1F3F" w:rsidP="00A57FE9">
      <w:pPr>
        <w:rPr>
          <w:rFonts w:ascii="Times New Roman" w:hAnsi="Times New Roman" w:cs="Times New Roman"/>
          <w:b/>
          <w:bCs/>
          <w:color w:val="000000" w:themeColor="text1"/>
        </w:rPr>
      </w:pPr>
    </w:p>
    <w:p w14:paraId="584C667E" w14:textId="77777777" w:rsidR="00CD1F3F" w:rsidRPr="004B546E" w:rsidRDefault="00CD1F3F" w:rsidP="00A57FE9">
      <w:pPr>
        <w:rPr>
          <w:rFonts w:ascii="Times New Roman" w:hAnsi="Times New Roman" w:cs="Times New Roman"/>
          <w:b/>
          <w:bCs/>
          <w:color w:val="000000" w:themeColor="text1"/>
        </w:rPr>
      </w:pPr>
    </w:p>
    <w:p w14:paraId="0318C24B" w14:textId="77777777" w:rsidR="00CD1F3F" w:rsidRPr="004B546E" w:rsidRDefault="00CD1F3F" w:rsidP="00A57FE9">
      <w:pPr>
        <w:rPr>
          <w:rFonts w:ascii="Times New Roman" w:hAnsi="Times New Roman" w:cs="Times New Roman"/>
          <w:b/>
          <w:bCs/>
          <w:color w:val="000000" w:themeColor="text1"/>
        </w:rPr>
      </w:pPr>
    </w:p>
    <w:p w14:paraId="75613EA7" w14:textId="77777777" w:rsidR="00CD1F3F" w:rsidRPr="004B546E" w:rsidRDefault="00CD1F3F" w:rsidP="00A57FE9">
      <w:pPr>
        <w:rPr>
          <w:rFonts w:ascii="Times New Roman" w:hAnsi="Times New Roman" w:cs="Times New Roman"/>
          <w:b/>
          <w:bCs/>
          <w:color w:val="000000" w:themeColor="text1"/>
        </w:rPr>
      </w:pPr>
    </w:p>
    <w:p w14:paraId="51B1C7F7" w14:textId="77777777" w:rsidR="00CD1F3F" w:rsidRPr="004B546E" w:rsidRDefault="00CD1F3F" w:rsidP="00A57FE9">
      <w:pPr>
        <w:rPr>
          <w:rFonts w:ascii="Times New Roman" w:hAnsi="Times New Roman" w:cs="Times New Roman"/>
          <w:b/>
          <w:bCs/>
          <w:color w:val="000000" w:themeColor="text1"/>
        </w:rPr>
      </w:pPr>
    </w:p>
    <w:p w14:paraId="40186003" w14:textId="77777777" w:rsidR="00CD1F3F" w:rsidRPr="004B546E" w:rsidRDefault="00CD1F3F" w:rsidP="00A57FE9">
      <w:pPr>
        <w:rPr>
          <w:rFonts w:ascii="Times New Roman" w:hAnsi="Times New Roman" w:cs="Times New Roman"/>
          <w:b/>
          <w:bCs/>
          <w:color w:val="000000" w:themeColor="text1"/>
        </w:rPr>
      </w:pPr>
    </w:p>
    <w:p w14:paraId="778F54F5" w14:textId="378EB55F" w:rsidR="00A57FE9" w:rsidRPr="004B546E" w:rsidRDefault="00A57FE9" w:rsidP="00A57FE9">
      <w:pPr>
        <w:rPr>
          <w:rFonts w:ascii="Times New Roman" w:hAnsi="Times New Roman" w:cs="Times New Roman"/>
          <w:color w:val="000000" w:themeColor="text1"/>
        </w:rPr>
      </w:pPr>
      <w:r w:rsidRPr="004B546E">
        <w:rPr>
          <w:rFonts w:ascii="Times New Roman" w:hAnsi="Times New Roman" w:cs="Times New Roman"/>
          <w:b/>
          <w:bCs/>
          <w:color w:val="000000" w:themeColor="text1"/>
        </w:rPr>
        <w:t>PROSPERO Registration:</w:t>
      </w:r>
      <w:r w:rsidRPr="004B546E">
        <w:rPr>
          <w:rFonts w:ascii="Times New Roman" w:hAnsi="Times New Roman" w:cs="Times New Roman"/>
          <w:color w:val="000000" w:themeColor="text1"/>
        </w:rPr>
        <w:t xml:space="preserve"> CRD420261354170</w:t>
      </w:r>
    </w:p>
    <w:p w14:paraId="50BB415A" w14:textId="77777777" w:rsidR="00A57FE9" w:rsidRPr="004B546E" w:rsidRDefault="00A57FE9" w:rsidP="00A57FE9">
      <w:pPr>
        <w:rPr>
          <w:rFonts w:ascii="Times New Roman" w:hAnsi="Times New Roman" w:cs="Times New Roman"/>
          <w:color w:val="000000" w:themeColor="text1"/>
        </w:rPr>
      </w:pPr>
      <w:r w:rsidRPr="004B546E">
        <w:rPr>
          <w:rFonts w:ascii="Times New Roman" w:hAnsi="Times New Roman" w:cs="Times New Roman"/>
          <w:b/>
          <w:bCs/>
          <w:color w:val="000000" w:themeColor="text1"/>
        </w:rPr>
        <w:t>Funding:</w:t>
      </w:r>
      <w:r w:rsidRPr="004B546E">
        <w:rPr>
          <w:rFonts w:ascii="Times New Roman" w:hAnsi="Times New Roman" w:cs="Times New Roman"/>
          <w:color w:val="000000" w:themeColor="text1"/>
        </w:rPr>
        <w:t xml:space="preserve"> None.</w:t>
      </w:r>
    </w:p>
    <w:p w14:paraId="3AC6E766" w14:textId="77777777" w:rsidR="00A57FE9" w:rsidRPr="004B546E" w:rsidRDefault="00A57FE9" w:rsidP="00A57FE9">
      <w:pPr>
        <w:rPr>
          <w:rFonts w:ascii="Times New Roman" w:hAnsi="Times New Roman" w:cs="Times New Roman"/>
          <w:color w:val="000000" w:themeColor="text1"/>
        </w:rPr>
      </w:pPr>
      <w:r w:rsidRPr="004B546E">
        <w:rPr>
          <w:rFonts w:ascii="Times New Roman" w:hAnsi="Times New Roman" w:cs="Times New Roman"/>
          <w:b/>
          <w:bCs/>
          <w:color w:val="000000" w:themeColor="text1"/>
        </w:rPr>
        <w:t>Conflicts of interest:</w:t>
      </w:r>
      <w:r w:rsidRPr="004B546E">
        <w:rPr>
          <w:rFonts w:ascii="Times New Roman" w:hAnsi="Times New Roman" w:cs="Times New Roman"/>
          <w:color w:val="000000" w:themeColor="text1"/>
        </w:rPr>
        <w:t xml:space="preserve"> None declared.</w:t>
      </w:r>
    </w:p>
    <w:p w14:paraId="033F8F2F" w14:textId="7BA7F564" w:rsidR="00A57FE9" w:rsidRPr="004B546E" w:rsidRDefault="00A57FE9" w:rsidP="00A57FE9">
      <w:pPr>
        <w:rPr>
          <w:rFonts w:ascii="Times New Roman" w:hAnsi="Times New Roman" w:cs="Times New Roman"/>
          <w:color w:val="000000" w:themeColor="text1"/>
        </w:rPr>
      </w:pPr>
      <w:r w:rsidRPr="004B546E">
        <w:rPr>
          <w:rFonts w:ascii="Times New Roman" w:hAnsi="Times New Roman" w:cs="Times New Roman"/>
          <w:b/>
          <w:bCs/>
          <w:color w:val="000000" w:themeColor="text1"/>
        </w:rPr>
        <w:t>Use of Artificial Intelligence:</w:t>
      </w:r>
      <w:r w:rsidRPr="004B546E">
        <w:rPr>
          <w:rFonts w:ascii="Times New Roman" w:hAnsi="Times New Roman" w:cs="Times New Roman"/>
          <w:color w:val="000000" w:themeColor="text1"/>
        </w:rPr>
        <w:t xml:space="preserv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14:paraId="0B10337C" w14:textId="0793DA17" w:rsidR="00A57FE9" w:rsidRPr="004B546E" w:rsidRDefault="00A57FE9" w:rsidP="0002327D">
      <w:pPr>
        <w:rPr>
          <w:rFonts w:ascii="Times New Roman" w:hAnsi="Times New Roman" w:cs="Times New Roman"/>
          <w:color w:val="000000" w:themeColor="text1"/>
        </w:rPr>
      </w:pPr>
    </w:p>
    <w:p w14:paraId="7221E4FD" w14:textId="0060B82C" w:rsidR="006600F4" w:rsidRPr="004B546E" w:rsidRDefault="006600F4" w:rsidP="00E52C6A">
      <w:pPr>
        <w:rPr>
          <w:rFonts w:ascii="Times New Roman" w:hAnsi="Times New Roman" w:cs="Times New Roman"/>
          <w:color w:val="000000" w:themeColor="text1"/>
        </w:rPr>
      </w:pPr>
    </w:p>
    <w:p w14:paraId="19861813" w14:textId="48564B33" w:rsidR="00CD1F3F" w:rsidRPr="004B546E" w:rsidRDefault="00CD1F3F" w:rsidP="00E52C6A">
      <w:pPr>
        <w:rPr>
          <w:rFonts w:ascii="Times New Roman" w:hAnsi="Times New Roman" w:cs="Times New Roman"/>
          <w:color w:val="000000" w:themeColor="text1"/>
        </w:rPr>
      </w:pPr>
    </w:p>
    <w:p w14:paraId="318FB183" w14:textId="7099AD4D" w:rsidR="00CD1F3F" w:rsidRPr="004B546E" w:rsidRDefault="00CD1F3F" w:rsidP="00E52C6A">
      <w:pPr>
        <w:rPr>
          <w:rFonts w:ascii="Times New Roman" w:hAnsi="Times New Roman" w:cs="Times New Roman"/>
          <w:color w:val="000000" w:themeColor="text1"/>
        </w:rPr>
      </w:pPr>
    </w:p>
    <w:p w14:paraId="529A6473" w14:textId="080C64D3" w:rsidR="00CD1F3F" w:rsidRPr="004B546E" w:rsidRDefault="00CD1F3F" w:rsidP="00E52C6A">
      <w:pPr>
        <w:rPr>
          <w:rFonts w:ascii="Times New Roman" w:hAnsi="Times New Roman" w:cs="Times New Roman"/>
          <w:color w:val="000000" w:themeColor="text1"/>
        </w:rPr>
      </w:pPr>
    </w:p>
    <w:p w14:paraId="5E84AC58" w14:textId="22D4A6EE" w:rsidR="00CD1F3F" w:rsidRPr="004B546E" w:rsidRDefault="00CD1F3F" w:rsidP="00E52C6A">
      <w:pPr>
        <w:rPr>
          <w:rFonts w:ascii="Times New Roman" w:hAnsi="Times New Roman" w:cs="Times New Roman"/>
          <w:color w:val="000000" w:themeColor="text1"/>
        </w:rPr>
      </w:pPr>
    </w:p>
    <w:p w14:paraId="5314AEB5" w14:textId="5B7F4313" w:rsidR="00CD1F3F" w:rsidRPr="004B546E" w:rsidRDefault="00CD1F3F" w:rsidP="00E52C6A">
      <w:pPr>
        <w:rPr>
          <w:rFonts w:ascii="Times New Roman" w:hAnsi="Times New Roman" w:cs="Times New Roman"/>
          <w:color w:val="000000" w:themeColor="text1"/>
        </w:rPr>
      </w:pPr>
    </w:p>
    <w:p w14:paraId="3C3D0A44" w14:textId="0CBFAECB" w:rsidR="00CD1F3F" w:rsidRPr="004B546E" w:rsidRDefault="00CD1F3F" w:rsidP="00E52C6A">
      <w:pPr>
        <w:rPr>
          <w:rFonts w:ascii="Times New Roman" w:hAnsi="Times New Roman" w:cs="Times New Roman"/>
          <w:color w:val="000000" w:themeColor="text1"/>
        </w:rPr>
      </w:pPr>
    </w:p>
    <w:p w14:paraId="30A15E4A" w14:textId="39AB0DBB" w:rsidR="00CD1F3F" w:rsidRPr="004B546E" w:rsidRDefault="00CD1F3F" w:rsidP="00E52C6A">
      <w:pPr>
        <w:rPr>
          <w:rFonts w:ascii="Times New Roman" w:hAnsi="Times New Roman" w:cs="Times New Roman"/>
          <w:color w:val="000000" w:themeColor="text1"/>
        </w:rPr>
      </w:pPr>
    </w:p>
    <w:p w14:paraId="723A9865" w14:textId="4CF5563F" w:rsidR="00CD1F3F" w:rsidRPr="004B546E" w:rsidRDefault="00CD1F3F" w:rsidP="00E52C6A">
      <w:pPr>
        <w:rPr>
          <w:rFonts w:ascii="Times New Roman" w:hAnsi="Times New Roman" w:cs="Times New Roman"/>
          <w:color w:val="000000" w:themeColor="text1"/>
        </w:rPr>
      </w:pPr>
    </w:p>
    <w:p w14:paraId="7AFA9CF4" w14:textId="7B643652" w:rsidR="00CD1F3F" w:rsidRPr="004B546E" w:rsidRDefault="00CD1F3F" w:rsidP="00E52C6A">
      <w:pPr>
        <w:rPr>
          <w:rFonts w:ascii="Times New Roman" w:hAnsi="Times New Roman" w:cs="Times New Roman"/>
          <w:color w:val="000000" w:themeColor="text1"/>
        </w:rPr>
      </w:pPr>
    </w:p>
    <w:p w14:paraId="4E84E764" w14:textId="5BADCE0E" w:rsidR="00CD1F3F" w:rsidRPr="004B546E" w:rsidRDefault="00CD1F3F" w:rsidP="00E52C6A">
      <w:pPr>
        <w:rPr>
          <w:rFonts w:ascii="Times New Roman" w:hAnsi="Times New Roman" w:cs="Times New Roman"/>
          <w:color w:val="000000" w:themeColor="text1"/>
        </w:rPr>
      </w:pPr>
    </w:p>
    <w:p w14:paraId="35C6CA0D" w14:textId="26421BD5" w:rsidR="00CD1F3F" w:rsidRPr="004B546E" w:rsidRDefault="00CD1F3F" w:rsidP="00E52C6A">
      <w:pPr>
        <w:rPr>
          <w:rFonts w:ascii="Times New Roman" w:hAnsi="Times New Roman" w:cs="Times New Roman"/>
          <w:color w:val="000000" w:themeColor="text1"/>
        </w:rPr>
      </w:pPr>
    </w:p>
    <w:p w14:paraId="51327C51" w14:textId="18D80346" w:rsidR="00CD1F3F" w:rsidRPr="004B546E" w:rsidRDefault="00CD1F3F" w:rsidP="00E52C6A">
      <w:pPr>
        <w:rPr>
          <w:rFonts w:ascii="Times New Roman" w:hAnsi="Times New Roman" w:cs="Times New Roman"/>
          <w:color w:val="000000" w:themeColor="text1"/>
        </w:rPr>
      </w:pPr>
    </w:p>
    <w:p w14:paraId="320251B9" w14:textId="1E05F004" w:rsidR="00CD1F3F" w:rsidRPr="004B546E" w:rsidRDefault="00CD1F3F" w:rsidP="00E52C6A">
      <w:pPr>
        <w:rPr>
          <w:rFonts w:ascii="Times New Roman" w:hAnsi="Times New Roman" w:cs="Times New Roman"/>
          <w:color w:val="000000" w:themeColor="text1"/>
        </w:rPr>
      </w:pPr>
    </w:p>
    <w:p w14:paraId="64D579B4" w14:textId="6CAAEDB1" w:rsidR="00CD1F3F" w:rsidRPr="004B546E" w:rsidRDefault="00CD1F3F" w:rsidP="00E52C6A">
      <w:pPr>
        <w:rPr>
          <w:rFonts w:ascii="Times New Roman" w:hAnsi="Times New Roman" w:cs="Times New Roman"/>
          <w:color w:val="000000" w:themeColor="text1"/>
        </w:rPr>
      </w:pPr>
    </w:p>
    <w:p w14:paraId="746D9071" w14:textId="2A4B23AE" w:rsidR="00CD1F3F" w:rsidRPr="004B546E" w:rsidRDefault="00CD1F3F" w:rsidP="00E52C6A">
      <w:pPr>
        <w:rPr>
          <w:rFonts w:ascii="Times New Roman" w:hAnsi="Times New Roman" w:cs="Times New Roman"/>
          <w:color w:val="000000" w:themeColor="text1"/>
        </w:rPr>
      </w:pPr>
    </w:p>
    <w:p w14:paraId="1FA4A1F4" w14:textId="09E5DC05" w:rsidR="00CD1F3F" w:rsidRPr="004B546E" w:rsidRDefault="00CD1F3F" w:rsidP="00E52C6A">
      <w:pPr>
        <w:rPr>
          <w:rFonts w:ascii="Times New Roman" w:hAnsi="Times New Roman" w:cs="Times New Roman"/>
          <w:color w:val="000000" w:themeColor="text1"/>
        </w:rPr>
      </w:pPr>
    </w:p>
    <w:p w14:paraId="52365F24" w14:textId="0AECD22E" w:rsidR="00CD1F3F" w:rsidRPr="004B546E" w:rsidRDefault="00CD1F3F" w:rsidP="00E52C6A">
      <w:pPr>
        <w:rPr>
          <w:rFonts w:ascii="Times New Roman" w:hAnsi="Times New Roman" w:cs="Times New Roman"/>
          <w:color w:val="000000" w:themeColor="text1"/>
        </w:rPr>
      </w:pPr>
    </w:p>
    <w:p w14:paraId="3A47E9FB" w14:textId="73E80FA8" w:rsidR="00CD1F3F" w:rsidRPr="004B546E" w:rsidRDefault="00CD1F3F" w:rsidP="00E52C6A">
      <w:pPr>
        <w:rPr>
          <w:rFonts w:ascii="Times New Roman" w:hAnsi="Times New Roman" w:cs="Times New Roman"/>
          <w:color w:val="000000" w:themeColor="text1"/>
        </w:rPr>
      </w:pPr>
    </w:p>
    <w:p w14:paraId="28AD9931" w14:textId="26DABBB4" w:rsidR="00CD1F3F" w:rsidRPr="004B546E" w:rsidRDefault="00CD1F3F" w:rsidP="00E52C6A">
      <w:pPr>
        <w:rPr>
          <w:rFonts w:ascii="Times New Roman" w:hAnsi="Times New Roman" w:cs="Times New Roman"/>
          <w:color w:val="000000" w:themeColor="text1"/>
        </w:rPr>
      </w:pPr>
    </w:p>
    <w:p w14:paraId="305FA622" w14:textId="6075339A" w:rsidR="00CD1F3F" w:rsidRPr="004B546E" w:rsidRDefault="00CD1F3F" w:rsidP="00E52C6A">
      <w:pPr>
        <w:rPr>
          <w:rFonts w:ascii="Times New Roman" w:hAnsi="Times New Roman" w:cs="Times New Roman"/>
          <w:color w:val="000000" w:themeColor="text1"/>
        </w:rPr>
      </w:pPr>
    </w:p>
    <w:p w14:paraId="0B497F34" w14:textId="1DA1A2B8" w:rsidR="00CD1F3F" w:rsidRPr="004B546E" w:rsidRDefault="00CD1F3F" w:rsidP="00E52C6A">
      <w:pPr>
        <w:rPr>
          <w:rFonts w:ascii="Times New Roman" w:hAnsi="Times New Roman" w:cs="Times New Roman"/>
          <w:color w:val="000000" w:themeColor="text1"/>
        </w:rPr>
      </w:pPr>
    </w:p>
    <w:p w14:paraId="5CEC227E" w14:textId="69F417B5" w:rsidR="00CD1F3F" w:rsidRPr="004B546E" w:rsidRDefault="00CD1F3F" w:rsidP="00E52C6A">
      <w:pPr>
        <w:rPr>
          <w:rFonts w:ascii="Times New Roman" w:hAnsi="Times New Roman" w:cs="Times New Roman"/>
          <w:color w:val="000000" w:themeColor="text1"/>
        </w:rPr>
      </w:pPr>
    </w:p>
    <w:p w14:paraId="543E7616" w14:textId="7B450314" w:rsidR="00CD1F3F" w:rsidRPr="004B546E" w:rsidRDefault="00CD1F3F" w:rsidP="00E52C6A">
      <w:pPr>
        <w:rPr>
          <w:rFonts w:ascii="Times New Roman" w:hAnsi="Times New Roman" w:cs="Times New Roman"/>
          <w:color w:val="000000" w:themeColor="text1"/>
        </w:rPr>
      </w:pPr>
    </w:p>
    <w:p w14:paraId="21941559" w14:textId="4903AD35" w:rsidR="00CD1F3F" w:rsidRPr="004B546E" w:rsidRDefault="00CD1F3F" w:rsidP="00E52C6A">
      <w:pPr>
        <w:rPr>
          <w:rFonts w:ascii="Times New Roman" w:hAnsi="Times New Roman" w:cs="Times New Roman"/>
          <w:color w:val="000000" w:themeColor="text1"/>
        </w:rPr>
      </w:pPr>
    </w:p>
    <w:p w14:paraId="2D1894BC" w14:textId="230EB8E8" w:rsidR="00CD1F3F" w:rsidRPr="004B546E" w:rsidRDefault="00CD1F3F" w:rsidP="00E52C6A">
      <w:pPr>
        <w:rPr>
          <w:rFonts w:ascii="Times New Roman" w:hAnsi="Times New Roman" w:cs="Times New Roman"/>
          <w:color w:val="000000" w:themeColor="text1"/>
        </w:rPr>
      </w:pPr>
    </w:p>
    <w:p w14:paraId="06D85023" w14:textId="3386F681" w:rsidR="00CD1F3F" w:rsidRPr="004B546E" w:rsidRDefault="00CD1F3F" w:rsidP="00E52C6A">
      <w:pPr>
        <w:rPr>
          <w:rFonts w:ascii="Times New Roman" w:hAnsi="Times New Roman" w:cs="Times New Roman"/>
          <w:color w:val="000000" w:themeColor="text1"/>
        </w:rPr>
      </w:pPr>
    </w:p>
    <w:p w14:paraId="5BAB77A5" w14:textId="5C19EB67" w:rsidR="00CD1F3F" w:rsidRPr="004B546E" w:rsidRDefault="00CD1F3F" w:rsidP="00E52C6A">
      <w:pPr>
        <w:rPr>
          <w:rFonts w:ascii="Times New Roman" w:hAnsi="Times New Roman" w:cs="Times New Roman"/>
          <w:color w:val="000000" w:themeColor="text1"/>
        </w:rPr>
      </w:pPr>
    </w:p>
    <w:p w14:paraId="6968AEEC" w14:textId="700B9223" w:rsidR="00CD1F3F" w:rsidRPr="004B546E" w:rsidRDefault="00CD1F3F" w:rsidP="00E52C6A">
      <w:pPr>
        <w:rPr>
          <w:rFonts w:ascii="Times New Roman" w:hAnsi="Times New Roman" w:cs="Times New Roman"/>
          <w:color w:val="000000" w:themeColor="text1"/>
        </w:rPr>
      </w:pPr>
    </w:p>
    <w:p w14:paraId="06F232F8" w14:textId="1499F717" w:rsidR="00CD1F3F" w:rsidRPr="004B546E" w:rsidRDefault="00CD1F3F" w:rsidP="00E52C6A">
      <w:pPr>
        <w:rPr>
          <w:rFonts w:ascii="Times New Roman" w:hAnsi="Times New Roman" w:cs="Times New Roman"/>
          <w:color w:val="000000" w:themeColor="text1"/>
        </w:rPr>
      </w:pPr>
    </w:p>
    <w:p w14:paraId="71A8DA29" w14:textId="75C6488F" w:rsidR="00CD1F3F" w:rsidRPr="004B546E" w:rsidRDefault="00CD1F3F" w:rsidP="00E52C6A">
      <w:pPr>
        <w:rPr>
          <w:rFonts w:ascii="Times New Roman" w:hAnsi="Times New Roman" w:cs="Times New Roman"/>
          <w:color w:val="000000" w:themeColor="text1"/>
        </w:rPr>
      </w:pPr>
    </w:p>
    <w:p w14:paraId="52DA84EB" w14:textId="242A05A9" w:rsidR="00CD1F3F" w:rsidRPr="004B546E" w:rsidRDefault="00CD1F3F" w:rsidP="00E52C6A">
      <w:pPr>
        <w:rPr>
          <w:rFonts w:ascii="Times New Roman" w:hAnsi="Times New Roman" w:cs="Times New Roman"/>
          <w:color w:val="000000" w:themeColor="text1"/>
        </w:rPr>
      </w:pPr>
    </w:p>
    <w:p w14:paraId="7B27F983" w14:textId="479BFD9E" w:rsidR="00CD1F3F" w:rsidRPr="004B546E" w:rsidRDefault="00CD1F3F" w:rsidP="00E52C6A">
      <w:pPr>
        <w:rPr>
          <w:rFonts w:ascii="Times New Roman" w:hAnsi="Times New Roman" w:cs="Times New Roman"/>
          <w:color w:val="000000" w:themeColor="text1"/>
        </w:rPr>
      </w:pPr>
    </w:p>
    <w:p w14:paraId="465D66F2" w14:textId="084335DF" w:rsidR="00CD1F3F" w:rsidRPr="004B546E" w:rsidRDefault="00CD1F3F" w:rsidP="00E52C6A">
      <w:pPr>
        <w:rPr>
          <w:rFonts w:ascii="Times New Roman" w:hAnsi="Times New Roman" w:cs="Times New Roman"/>
          <w:color w:val="000000" w:themeColor="text1"/>
        </w:rPr>
      </w:pPr>
    </w:p>
    <w:p w14:paraId="15766B54" w14:textId="7B003BA5" w:rsidR="00CD1F3F" w:rsidRPr="004B546E" w:rsidRDefault="00CD1F3F" w:rsidP="00E52C6A">
      <w:pPr>
        <w:rPr>
          <w:rFonts w:ascii="Times New Roman" w:hAnsi="Times New Roman" w:cs="Times New Roman"/>
          <w:color w:val="000000" w:themeColor="text1"/>
        </w:rPr>
      </w:pPr>
    </w:p>
    <w:p w14:paraId="52FD29BE" w14:textId="55374127" w:rsidR="00CD1F3F" w:rsidRPr="004B546E" w:rsidRDefault="00CD1F3F" w:rsidP="00E52C6A">
      <w:pPr>
        <w:rPr>
          <w:rFonts w:ascii="Times New Roman" w:hAnsi="Times New Roman" w:cs="Times New Roman"/>
          <w:color w:val="000000" w:themeColor="text1"/>
        </w:rPr>
      </w:pPr>
    </w:p>
    <w:p w14:paraId="43CB5AEC" w14:textId="6B6BDCD5" w:rsidR="00CD1F3F" w:rsidRPr="004B546E" w:rsidRDefault="00CD1F3F" w:rsidP="00E52C6A">
      <w:pPr>
        <w:rPr>
          <w:rFonts w:ascii="Times New Roman" w:hAnsi="Times New Roman" w:cs="Times New Roman"/>
          <w:color w:val="000000" w:themeColor="text1"/>
        </w:rPr>
      </w:pPr>
    </w:p>
    <w:p w14:paraId="2403D410" w14:textId="41EB26E1" w:rsidR="00CD1F3F" w:rsidRPr="004B546E" w:rsidRDefault="00CD1F3F" w:rsidP="00E52C6A">
      <w:pPr>
        <w:rPr>
          <w:rFonts w:ascii="Times New Roman" w:hAnsi="Times New Roman" w:cs="Times New Roman"/>
          <w:color w:val="000000" w:themeColor="text1"/>
        </w:rPr>
      </w:pPr>
    </w:p>
    <w:p w14:paraId="753F60FF" w14:textId="1B791FFC" w:rsidR="00CD1F3F" w:rsidRPr="004B546E" w:rsidRDefault="00CD1F3F" w:rsidP="00E52C6A">
      <w:pPr>
        <w:rPr>
          <w:rFonts w:ascii="Times New Roman" w:hAnsi="Times New Roman" w:cs="Times New Roman"/>
          <w:color w:val="000000" w:themeColor="text1"/>
        </w:rPr>
      </w:pPr>
    </w:p>
    <w:p w14:paraId="5DBAB800" w14:textId="77777777" w:rsidR="00CD1F3F" w:rsidRPr="004B546E" w:rsidRDefault="00CD1F3F" w:rsidP="00E52C6A">
      <w:pPr>
        <w:rPr>
          <w:rFonts w:ascii="Times New Roman" w:hAnsi="Times New Roman" w:cs="Times New Roman"/>
          <w:color w:val="000000" w:themeColor="text1"/>
        </w:rPr>
      </w:pPr>
    </w:p>
    <w:p w14:paraId="07639C0E" w14:textId="61FED393" w:rsidR="00DE6901" w:rsidRPr="004B546E" w:rsidRDefault="00D152B9" w:rsidP="00E52C6A">
      <w:pPr>
        <w:rPr>
          <w:rFonts w:ascii="Times New Roman" w:hAnsi="Times New Roman" w:cs="Times New Roman"/>
          <w:b/>
          <w:bCs/>
          <w:color w:val="000000" w:themeColor="text1"/>
        </w:rPr>
      </w:pPr>
      <w:r w:rsidRPr="004B546E">
        <w:rPr>
          <w:rFonts w:ascii="Times New Roman" w:hAnsi="Times New Roman" w:cs="Times New Roman" w:hint="eastAsia"/>
          <w:b/>
          <w:bCs/>
          <w:color w:val="000000" w:themeColor="text1"/>
        </w:rPr>
        <w:t>R</w:t>
      </w:r>
      <w:r w:rsidRPr="004B546E">
        <w:rPr>
          <w:rFonts w:ascii="Times New Roman" w:hAnsi="Times New Roman" w:cs="Times New Roman"/>
          <w:b/>
          <w:bCs/>
          <w:color w:val="000000" w:themeColor="text1"/>
        </w:rPr>
        <w:t>eferences</w:t>
      </w:r>
    </w:p>
    <w:p w14:paraId="1229762D"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w:t>
      </w:r>
      <w:r w:rsidRPr="004B546E">
        <w:rPr>
          <w:rFonts w:ascii="Times New Roman" w:hAnsi="Times New Roman" w:cs="Times New Roman"/>
          <w:color w:val="000000" w:themeColor="text1"/>
        </w:rPr>
        <w:tab/>
        <w:t>Alexandrou E, Ray-Barruel G, Carr PJ, Frost SA, Inwood S, Higgins N, et al. Use of Short Peripheral Intravenous Catheters: Characteristics, Management, and Outcomes Worldwide. J Hosp Med. 2018;13(5).</w:t>
      </w:r>
    </w:p>
    <w:p w14:paraId="5BA76194"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w:t>
      </w:r>
      <w:r w:rsidRPr="004B546E">
        <w:rPr>
          <w:rFonts w:ascii="Times New Roman" w:hAnsi="Times New Roman" w:cs="Times New Roman"/>
          <w:color w:val="000000" w:themeColor="text1"/>
        </w:rPr>
        <w:tab/>
        <w:t>O'Grady NP, Alexander M, Burns LA, Dellinger EP, Garland J, Heard SO, et al. Guidelines for the prevention of intravascular catheter-related infections. Am J Infect Control. 2011;39(4 Suppl 1):S1-34.</w:t>
      </w:r>
    </w:p>
    <w:p w14:paraId="3F5764AD"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3.</w:t>
      </w:r>
      <w:r w:rsidRPr="004B546E">
        <w:rPr>
          <w:rFonts w:ascii="Times New Roman" w:hAnsi="Times New Roman" w:cs="Times New Roman"/>
          <w:color w:val="000000" w:themeColor="text1"/>
        </w:rPr>
        <w:tab/>
        <w:t>Nickel B, Gorski L, Kleidon T, Kyes A, DeVries M, Keogh S, et al. Infusion Therapy Standards of Practice, 9th Edition. J Infus Nurs. 2024;47(1S Suppl 1):S1-S285.</w:t>
      </w:r>
    </w:p>
    <w:p w14:paraId="16BE08A2"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4.</w:t>
      </w:r>
      <w:r w:rsidRPr="004B546E">
        <w:rPr>
          <w:rFonts w:ascii="Times New Roman" w:hAnsi="Times New Roman" w:cs="Times New Roman"/>
          <w:color w:val="000000" w:themeColor="text1"/>
        </w:rPr>
        <w:tab/>
        <w:t>Egan G, Healy D, O'Neill H, Clarke-Moloney M, Grace PA, Walsh SR. Ultrasound guidance for difficult peripheral venous access: systematic review and meta-analysis. Emerg Med J. 2013;30(7):521-6.</w:t>
      </w:r>
    </w:p>
    <w:p w14:paraId="135DE2C8"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5.</w:t>
      </w:r>
      <w:r w:rsidRPr="004B546E">
        <w:rPr>
          <w:rFonts w:ascii="Times New Roman" w:hAnsi="Times New Roman" w:cs="Times New Roman"/>
          <w:color w:val="000000" w:themeColor="text1"/>
        </w:rPr>
        <w:tab/>
        <w:t>Avelar AF, Peterlini MA, da Luz Goncalves Pedreira M. Ultrasonography-Guided Peripheral Intravenous Access in Children: A Randomized Controlled Trial. J Infus Nurs. 2015;38(5):320-7.</w:t>
      </w:r>
    </w:p>
    <w:p w14:paraId="13D1C16A"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6.</w:t>
      </w:r>
      <w:r w:rsidRPr="004B546E">
        <w:rPr>
          <w:rFonts w:ascii="Times New Roman" w:hAnsi="Times New Roman" w:cs="Times New Roman"/>
          <w:color w:val="000000" w:themeColor="text1"/>
        </w:rPr>
        <w:tab/>
        <w:t>van Loon FHJ, Buise MP, Claassen JJF, Dierick-van Daele ATM, Bouwman ARA. Comparison of ultrasound guidance with palpation and direct visualisation for peripheral vein cannulation in adult patients: a systematic review and meta-analysis. Br J Anaesth. 2018;121(2):358-66.</w:t>
      </w:r>
    </w:p>
    <w:p w14:paraId="70F5C02B"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7.</w:t>
      </w:r>
      <w:r w:rsidRPr="004B546E">
        <w:rPr>
          <w:rFonts w:ascii="Times New Roman" w:hAnsi="Times New Roman" w:cs="Times New Roman"/>
          <w:color w:val="000000" w:themeColor="text1"/>
        </w:rPr>
        <w:tab/>
        <w:t>Fields JM, Dean AJ, Todman RW, Au AK, Anderson KL, Ku BS, et al. The effect of vessel depth, diameter, and location on ultrasound-guided peripheral intravenous catheter longevity. Am J Emerg Med. 2012;30(7):1134-40.</w:t>
      </w:r>
    </w:p>
    <w:p w14:paraId="1EDA2876"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8.</w:t>
      </w:r>
      <w:r w:rsidRPr="004B546E">
        <w:rPr>
          <w:rFonts w:ascii="Times New Roman" w:hAnsi="Times New Roman" w:cs="Times New Roman"/>
          <w:color w:val="000000" w:themeColor="text1"/>
        </w:rPr>
        <w:tab/>
        <w:t>Elia F, Ferrari G, Molino P, Converso M, De Filippi G, Milan A, et al. Standard-length catheters vs long catheters in ultrasound-guided peripheral vein cannulation. Am J Emerg Med. 2012;30(5):712-6.</w:t>
      </w:r>
    </w:p>
    <w:p w14:paraId="324EEDA4"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9.</w:t>
      </w:r>
      <w:r w:rsidRPr="004B546E">
        <w:rPr>
          <w:rFonts w:ascii="Times New Roman" w:hAnsi="Times New Roman" w:cs="Times New Roman"/>
          <w:color w:val="000000" w:themeColor="text1"/>
        </w:rPr>
        <w:tab/>
        <w:t>Malik A, Dewald O, Gallien J, Favot M, Kasten A, Reed B, et al. Outcomes of Ultrasound Guided Peripheral Intravenous Catheters Placed in the Emergency Department and Factors Associated with Survival. Open Access Emerg Med. 2023;15:177-87.</w:t>
      </w:r>
    </w:p>
    <w:p w14:paraId="18FF7DF4"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10.</w:t>
      </w:r>
      <w:r w:rsidRPr="004B546E">
        <w:rPr>
          <w:rFonts w:ascii="Times New Roman" w:hAnsi="Times New Roman" w:cs="Times New Roman"/>
          <w:color w:val="000000" w:themeColor="text1"/>
        </w:rPr>
        <w:tab/>
        <w:t>Avelar AF, Peterlini MA, da Pedreira ML. [Assertiveness and peripheral intravenous catheters dwell time with ultrasonography-guided insertion in children and adolescents]. Rev Esc Enferm USP. 2013;47(3):539-46.</w:t>
      </w:r>
    </w:p>
    <w:p w14:paraId="1C8FB729"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11.</w:t>
      </w:r>
      <w:r w:rsidRPr="004B546E">
        <w:rPr>
          <w:rFonts w:ascii="Times New Roman" w:hAnsi="Times New Roman" w:cs="Times New Roman"/>
          <w:color w:val="000000" w:themeColor="text1"/>
        </w:rPr>
        <w:tab/>
        <w:t>Kleidon TM, Schults J, Paterson R, Rickard CM, Ullman AJ. Comparison of ultrasound-guided peripheral intravenous catheter insertion with landmark technique in paediatric patients: A systematic review and meta-analysis. J Paediatr Child Health. 2022;58(6):953-61.</w:t>
      </w:r>
    </w:p>
    <w:p w14:paraId="5072583D"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12.</w:t>
      </w:r>
      <w:r w:rsidRPr="004B546E">
        <w:rPr>
          <w:rFonts w:ascii="Times New Roman" w:hAnsi="Times New Roman" w:cs="Times New Roman"/>
          <w:color w:val="000000" w:themeColor="text1"/>
        </w:rPr>
        <w:tab/>
        <w:t>Kleidon TM, Schults JA, Royle RH, Gibson V, Ware RS, Andresen E, et al. First-Attempt Success in Ultrasound-Guided vs Standard Peripheral Intravenous Catheter Insertion: The EPIC Superiority Randomized Clinical Trial. JAMA Pediatr. 2025;179(3):255-63.</w:t>
      </w:r>
    </w:p>
    <w:p w14:paraId="4DB00CC7"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13.</w:t>
      </w:r>
      <w:r w:rsidRPr="004B546E">
        <w:rPr>
          <w:rFonts w:ascii="Times New Roman" w:hAnsi="Times New Roman" w:cs="Times New Roman"/>
          <w:color w:val="000000" w:themeColor="text1"/>
        </w:rPr>
        <w:tab/>
        <w:t>Kleidon TM, Schults J, Rickard C, Ullman AJ. Ultrasound-guided PIVC insertion: a randomised controlled trial protocol. Br J Nurs. 2023;32(14):S22-S8.</w:t>
      </w:r>
    </w:p>
    <w:p w14:paraId="75E7085B"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14.</w:t>
      </w:r>
      <w:r w:rsidRPr="004B546E">
        <w:rPr>
          <w:rFonts w:ascii="Times New Roman" w:hAnsi="Times New Roman" w:cs="Times New Roman"/>
          <w:color w:val="000000" w:themeColor="text1"/>
        </w:rPr>
        <w:tab/>
        <w:t>Desai K, Vinograd AM, Abbadessa MKF, Chen AE. Longevity and Complication Rates of Ultrasound Guided Versus Traditional Peripheral Intravenous Catheters in a Pediatric Emergency Department. J Assoc Vasc Access. 2018;23(3):149-154.</w:t>
      </w:r>
    </w:p>
    <w:p w14:paraId="3B3871A3"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15.</w:t>
      </w:r>
      <w:r w:rsidRPr="004B546E">
        <w:rPr>
          <w:rFonts w:ascii="Times New Roman" w:hAnsi="Times New Roman" w:cs="Times New Roman"/>
          <w:color w:val="000000" w:themeColor="text1"/>
        </w:rPr>
        <w:tab/>
        <w:t>Nishizawa T, Matsumoto T, Todaka T, Sasano M, Kitagawa H, Shimabuku A. Nurse-Performed Ultrasound-Guided Technique for Difficult Peripheral Intravenous Access in Critically Ill Patients: A Randomized Controlled Trial. J Assoc Vasc Access. 2020;25(2):34-39.</w:t>
      </w:r>
    </w:p>
    <w:p w14:paraId="7F6C4750"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16.</w:t>
      </w:r>
      <w:r w:rsidRPr="004B546E">
        <w:rPr>
          <w:rFonts w:ascii="Times New Roman" w:hAnsi="Times New Roman" w:cs="Times New Roman"/>
          <w:color w:val="000000" w:themeColor="text1"/>
        </w:rPr>
        <w:tab/>
        <w:t>Bridey C, Thilly N, Lefevre T, Maire-Richard A, Morel M, Levy B, et al. Ultrasound-guided versus landmark approach for peripheral intravenous access by critical care nurses: a randomised controlled study. BMJ Open. 2018;8(6):e020220.</w:t>
      </w:r>
    </w:p>
    <w:p w14:paraId="77F8C4BD"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17.</w:t>
      </w:r>
      <w:r w:rsidRPr="004B546E">
        <w:rPr>
          <w:rFonts w:ascii="Times New Roman" w:hAnsi="Times New Roman" w:cs="Times New Roman"/>
          <w:color w:val="000000" w:themeColor="text1"/>
        </w:rPr>
        <w:tab/>
        <w:t>Varghese S, Ranjit T. Ultrasound-Guided vs Landmark Peripheral IV Cannulation in the Pediatric ED: A Randomized Controlled Trial. Int J Med Public Health. 2025;15(4):1880-1885.</w:t>
      </w:r>
    </w:p>
    <w:p w14:paraId="1DA09075"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18.</w:t>
      </w:r>
      <w:r w:rsidRPr="004B546E">
        <w:rPr>
          <w:rFonts w:ascii="Times New Roman" w:hAnsi="Times New Roman" w:cs="Times New Roman"/>
          <w:color w:val="000000" w:themeColor="text1"/>
        </w:rPr>
        <w:tab/>
        <w:t>Leroux S, Deaner T, Wasser T, Huey C, Carr B, Howard A, et al. The Impact of Peripheral Intravenous Catheter Insertion Technique and Catheter-to-Vein Ratio on Postinsertion Failure. J Emerg Med. 2023;64(5):564-73.</w:t>
      </w:r>
    </w:p>
    <w:p w14:paraId="33D28D7B"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19.</w:t>
      </w:r>
      <w:r w:rsidRPr="004B546E">
        <w:rPr>
          <w:rFonts w:ascii="Times New Roman" w:hAnsi="Times New Roman" w:cs="Times New Roman"/>
          <w:color w:val="000000" w:themeColor="text1"/>
        </w:rPr>
        <w:tab/>
        <w:t>Feinsmith SE, Amick AE, Feinglass JM, Sell J, Davis EM, Spencer TR, et al. Performance of peripheral catheters inserted with ultrasound guidance versus landmark technique after a simulation-based mastery learning intervention. J Vasc Access. 2023;24(4):630-8.</w:t>
      </w:r>
    </w:p>
    <w:p w14:paraId="2F8A6B45"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20.</w:t>
      </w:r>
      <w:r w:rsidRPr="004B546E">
        <w:rPr>
          <w:rFonts w:ascii="Times New Roman" w:hAnsi="Times New Roman" w:cs="Times New Roman"/>
          <w:color w:val="000000" w:themeColor="text1"/>
        </w:rPr>
        <w:tab/>
        <w:t>Shokoohi H, Boniface KS, Kulie P, Long A, McCarthy M. The Utility and Survivorship of Peripheral Intravenous Catheters Inserted in the Emergency Department. Ann Emerg Med. 2019;74(3):381-90.</w:t>
      </w:r>
    </w:p>
    <w:p w14:paraId="6C4209C2"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21.</w:t>
      </w:r>
      <w:r w:rsidRPr="004B546E">
        <w:rPr>
          <w:rFonts w:ascii="Times New Roman" w:hAnsi="Times New Roman" w:cs="Times New Roman"/>
          <w:color w:val="000000" w:themeColor="text1"/>
        </w:rPr>
        <w:tab/>
        <w:t>Cottrell JT, Chang T, Baird J, Barreras J, Elkhunovich MA. Ultrasound-guided placement of peripherally inserted intravenous catheters increase catheter dwell time in children. J Vasc Access. 2021;22(2):189-93.</w:t>
      </w:r>
    </w:p>
    <w:p w14:paraId="3C7D538F"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22.</w:t>
      </w:r>
      <w:r w:rsidRPr="004B546E">
        <w:rPr>
          <w:rFonts w:ascii="Times New Roman" w:hAnsi="Times New Roman" w:cs="Times New Roman"/>
          <w:color w:val="000000" w:themeColor="text1"/>
        </w:rPr>
        <w:tab/>
        <w:t>Dachepally R, Garcia AD, Liu W, Flechler C, Hanna WJ. Assessing the utility of ultrasound-guided vascular access placement with longer catheters in critically ill pediatric patients. Paediatr Anaesth. 2023;33(6):460-5.</w:t>
      </w:r>
    </w:p>
    <w:p w14:paraId="2EFB66FF"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23.</w:t>
      </w:r>
      <w:r w:rsidRPr="004B546E">
        <w:rPr>
          <w:rFonts w:ascii="Times New Roman" w:hAnsi="Times New Roman" w:cs="Times New Roman"/>
          <w:color w:val="000000" w:themeColor="text1"/>
        </w:rPr>
        <w:tab/>
        <w:t>Paladini A, Chiaretti A, Sellasie KW, Pittiruti M, Vento G. Ultrasound-guided placement of long peripheral cannulas in children over the age of 10 years admitted to the emergency department: a pilot study. BMJ Paediatr Open. 2018;2(1):e000244.</w:t>
      </w:r>
    </w:p>
    <w:p w14:paraId="7DAB1A80"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24.</w:t>
      </w:r>
      <w:r w:rsidRPr="004B546E">
        <w:rPr>
          <w:rFonts w:ascii="Times New Roman" w:hAnsi="Times New Roman" w:cs="Times New Roman"/>
          <w:color w:val="000000" w:themeColor="text1"/>
        </w:rPr>
        <w:tab/>
        <w:t>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14:paraId="2824A6D9"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25.</w:t>
      </w:r>
      <w:r w:rsidRPr="004B546E">
        <w:rPr>
          <w:rFonts w:ascii="Times New Roman" w:hAnsi="Times New Roman" w:cs="Times New Roman"/>
          <w:color w:val="000000" w:themeColor="text1"/>
        </w:rPr>
        <w:tab/>
        <w:t>Favot M, Gallien J, Malik A, Kasten A, Wells R, Ehrman R. Contrast Extravasation as a Complication of Emergency Nurse-Performed Ultrasound-Guided Peripheral Intravenous Catheter Placement. J Emerg Nurs. 2019;45(5):512-6.</w:t>
      </w:r>
    </w:p>
    <w:p w14:paraId="2121A089"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26.</w:t>
      </w:r>
      <w:r w:rsidRPr="004B546E">
        <w:rPr>
          <w:rFonts w:ascii="Times New Roman" w:hAnsi="Times New Roman" w:cs="Times New Roman"/>
          <w:color w:val="000000" w:themeColor="text1"/>
        </w:rPr>
        <w:tab/>
        <w:t>Saltarelli NA, VanHouten J, Boyd J, Rupp J, Ferre RM. Infiltration Rates Are Similar in Ultrasound-Guided and Traditionally Placed Peripheral IVs in Admitted Emergency Department Patients With Difficult IV Access. Ann Emerg Med. 2015;66(4 Suppl):S137.</w:t>
      </w:r>
    </w:p>
    <w:p w14:paraId="2218691C"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27.</w:t>
      </w:r>
      <w:r w:rsidRPr="004B546E">
        <w:rPr>
          <w:rFonts w:ascii="Times New Roman" w:hAnsi="Times New Roman" w:cs="Times New Roman"/>
          <w:color w:val="000000" w:themeColor="text1"/>
        </w:rPr>
        <w:tab/>
        <w:t>Stolz LA, Stolz U, Howe C, Farrell IJ, Adhikari S. Ultrasound-guided peripheral venous access: a meta-analysis and systematic review. J Vasc Access. 2015;16(4):321-6.</w:t>
      </w:r>
    </w:p>
    <w:p w14:paraId="1D8519A3"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28.</w:t>
      </w:r>
      <w:r w:rsidRPr="004B546E">
        <w:rPr>
          <w:rFonts w:ascii="Times New Roman" w:hAnsi="Times New Roman" w:cs="Times New Roman"/>
          <w:color w:val="000000" w:themeColor="text1"/>
        </w:rPr>
        <w:tab/>
        <w:t>van Loon FHJ, Korsten HHM, Dierick-van Daele ATM, Bouwman ARA. The impact of the catheter to vein ratio on peripheral intravenous cannulation success, a post-hoc analyses. PLoS One. 2021;16(5):e0252166.</w:t>
      </w:r>
    </w:p>
    <w:p w14:paraId="16353A1D" w14:textId="77777777" w:rsidR="00D152B9"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29.</w:t>
      </w:r>
      <w:r w:rsidRPr="004B546E">
        <w:rPr>
          <w:rFonts w:ascii="Times New Roman" w:hAnsi="Times New Roman" w:cs="Times New Roman"/>
          <w:color w:val="000000" w:themeColor="text1"/>
        </w:rPr>
        <w:tab/>
        <w:t>Pandurangadu AV, Tucker J, Brackney AR, Bahl A. Ultrasound-guided intravenous catheter survival impacted by amount of catheter residing in the vein. Emerg Med J. 2018;35(9):550-5.</w:t>
      </w:r>
    </w:p>
    <w:p w14:paraId="5F092884" w14:textId="13033158" w:rsidR="00DE6901" w:rsidRPr="004B546E" w:rsidRDefault="00D152B9" w:rsidP="00D152B9">
      <w:pPr>
        <w:rPr>
          <w:rFonts w:ascii="Times New Roman" w:hAnsi="Times New Roman" w:cs="Times New Roman"/>
          <w:color w:val="000000" w:themeColor="text1"/>
        </w:rPr>
      </w:pPr>
      <w:r w:rsidRPr="004B546E">
        <w:rPr>
          <w:rFonts w:ascii="Times New Roman" w:hAnsi="Times New Roman" w:cs="Times New Roman"/>
          <w:color w:val="000000" w:themeColor="text1"/>
        </w:rPr>
        <w:t>30.</w:t>
      </w:r>
      <w:r w:rsidRPr="004B546E">
        <w:rPr>
          <w:rFonts w:ascii="Times New Roman" w:hAnsi="Times New Roman" w:cs="Times New Roman"/>
          <w:color w:val="000000" w:themeColor="text1"/>
        </w:rPr>
        <w:tab/>
        <w:t>Guyatt GH, Oxman AD, Vist GE, Kunz R, Falck-Ytter Y, Alonso-Coello P, et al. GRADE: an emerging consensus on rating quality of evidence and strength of recommendations. BMJ. 2008;336(7650):924-6.</w:t>
      </w:r>
    </w:p>
    <w:p w14:paraId="078A1813" w14:textId="77777777" w:rsidR="00DE6901" w:rsidRPr="004B546E" w:rsidRDefault="00DE6901" w:rsidP="00E52C6A">
      <w:pPr>
        <w:rPr>
          <w:rFonts w:ascii="Times New Roman" w:hAnsi="Times New Roman" w:cs="Times New Roman"/>
          <w:color w:val="000000" w:themeColor="text1"/>
        </w:rPr>
      </w:pPr>
    </w:p>
    <w:p w14:paraId="07F87488" w14:textId="77777777" w:rsidR="00DE6901" w:rsidRPr="004B546E" w:rsidRDefault="00DE6901" w:rsidP="00E52C6A">
      <w:pPr>
        <w:rPr>
          <w:rFonts w:ascii="Times New Roman" w:hAnsi="Times New Roman" w:cs="Times New Roman"/>
          <w:color w:val="000000" w:themeColor="text1"/>
        </w:rPr>
      </w:pPr>
    </w:p>
    <w:p w14:paraId="00A935D6" w14:textId="4F3A9AD2" w:rsidR="006600F4" w:rsidRPr="004B546E" w:rsidRDefault="006600F4" w:rsidP="006600F4">
      <w:pPr>
        <w:rPr>
          <w:rFonts w:ascii="Times New Roman" w:hAnsi="Times New Roman" w:cs="Times New Roman"/>
          <w:b/>
          <w:bCs/>
          <w:color w:val="000000" w:themeColor="text1"/>
        </w:rPr>
      </w:pPr>
      <w:r w:rsidRPr="004B546E">
        <w:rPr>
          <w:rFonts w:ascii="Times New Roman" w:hAnsi="Times New Roman" w:cs="Times New Roman" w:hint="eastAsia"/>
          <w:b/>
          <w:bCs/>
          <w:color w:val="000000" w:themeColor="text1"/>
        </w:rPr>
        <w:t>F</w:t>
      </w:r>
      <w:r w:rsidRPr="004B546E">
        <w:rPr>
          <w:rFonts w:ascii="Times New Roman" w:hAnsi="Times New Roman" w:cs="Times New Roman"/>
          <w:b/>
          <w:bCs/>
          <w:color w:val="000000" w:themeColor="text1"/>
        </w:rPr>
        <w:t>igure legends</w:t>
      </w:r>
    </w:p>
    <w:p w14:paraId="73831467" w14:textId="07C20ADF" w:rsidR="004B546E" w:rsidRPr="004B546E" w:rsidRDefault="004B546E" w:rsidP="006600F4">
      <w:pPr>
        <w:rPr>
          <w:rFonts w:hint="eastAsia"/>
          <w:color w:val="000000" w:themeColor="text1"/>
        </w:rPr>
      </w:pPr>
      <w:r w:rsidRPr="004B546E">
        <w:rPr>
          <w:rFonts w:ascii="Times New Roman" w:hAnsi="Times New Roman" w:cs="Times New Roman"/>
          <w:b/>
          <w:bCs/>
          <w:color w:val="000000" w:themeColor="text1"/>
        </w:rPr>
        <w:t>Figure</w:t>
      </w:r>
      <w:r>
        <w:rPr>
          <w:rFonts w:ascii="Times New Roman" w:hAnsi="Times New Roman" w:cs="Times New Roman"/>
          <w:b/>
          <w:bCs/>
          <w:color w:val="000000" w:themeColor="text1"/>
        </w:rPr>
        <w:t xml:space="preserve"> 1</w:t>
      </w:r>
      <w:r w:rsidRPr="004B546E">
        <w:rPr>
          <w:rFonts w:ascii="Times New Roman" w:hAnsi="Times New Roman" w:cs="Times New Roman"/>
          <w:b/>
          <w:bCs/>
          <w:color w:val="000000" w:themeColor="text1"/>
        </w:rPr>
        <w:t xml:space="preserve">. </w:t>
      </w:r>
      <w:r w:rsidRPr="004B546E">
        <w:rPr>
          <w:rFonts w:ascii="Times New Roman" w:hAnsi="Times New Roman" w:cs="Times New Roman"/>
          <w:color w:val="000000" w:themeColor="text1"/>
        </w:rPr>
        <w:t>Risk-of-bias and methodological-quality summary across all 14 included studies</w:t>
      </w:r>
      <w:r w:rsidRPr="004B546E">
        <w:rPr>
          <w:rFonts w:ascii="Times New Roman" w:hAnsi="Times New Roman" w:cs="Times New Roman" w:hint="eastAsia"/>
          <w:color w:val="000000" w:themeColor="text1"/>
        </w:rPr>
        <w:t xml:space="preserve"> </w:t>
      </w:r>
      <w:r w:rsidRPr="004B546E">
        <w:rPr>
          <w:rFonts w:ascii="Times New Roman" w:hAnsi="Times New Roman" w:cs="Times New Roman"/>
          <w:color w:val="000000" w:themeColor="text1"/>
        </w:rPr>
        <w:t>(Based on Cochrane RoB 2 for 5 RCTs and Newcastle-Ottawa Scale for 9 cohort studies; see Table 2 for details)</w:t>
      </w:r>
      <w:r w:rsidRPr="004B546E">
        <w:rPr>
          <w:rFonts w:ascii="Times New Roman" w:hAnsi="Times New Roman" w:cs="Times New Roman" w:hint="eastAsia"/>
          <w:color w:val="000000" w:themeColor="text1"/>
        </w:rPr>
        <w:t xml:space="preserve"> </w:t>
      </w:r>
      <w:r w:rsidRPr="004B546E">
        <w:rPr>
          <w:rFonts w:ascii="Times New Roman" w:hAnsi="Times New Roman" w:cs="Times New Roman"/>
          <w:color w:val="000000" w:themeColor="text1"/>
        </w:rPr>
        <w:t>(A) Cochrane RoB 2 traffic-light plot (RCTs, n = 5)</w:t>
      </w:r>
      <w:r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xml:space="preserve"> Uses traffic-light colors (green/yellow/red) to display the risk-of-bias judgments across domains for each of the 5 RCTs.</w:t>
      </w:r>
      <w:r w:rsidRPr="004B546E">
        <w:rPr>
          <w:rFonts w:ascii="Times New Roman" w:hAnsi="Times New Roman" w:cs="Times New Roman" w:hint="eastAsia"/>
          <w:color w:val="000000" w:themeColor="text1"/>
        </w:rPr>
        <w:t xml:space="preserve"> </w:t>
      </w:r>
      <w:r w:rsidRPr="004B546E">
        <w:rPr>
          <w:rFonts w:ascii="Times New Roman" w:hAnsi="Times New Roman" w:cs="Times New Roman"/>
          <w:color w:val="000000" w:themeColor="text1"/>
        </w:rPr>
        <w:t>(B) Newcastle-Ottawa Scale (cohort studies, n = 9)</w:t>
      </w:r>
      <w:r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xml:space="preserve"> For each of the 9 cohort studies, stars are shown per NOS domain (Selection /4, Comparability /2, Outcome /3); colors indicate the derived risk band.</w:t>
      </w:r>
      <w:r w:rsidRPr="004B546E">
        <w:rPr>
          <w:rFonts w:ascii="Times New Roman" w:hAnsi="Times New Roman" w:cs="Times New Roman" w:hint="eastAsia"/>
          <w:color w:val="000000" w:themeColor="text1"/>
        </w:rPr>
        <w:t xml:space="preserve"> </w:t>
      </w:r>
      <w:r w:rsidRPr="004B546E">
        <w:rPr>
          <w:rFonts w:ascii="Times New Roman" w:hAnsi="Times New Roman" w:cs="Times New Roman"/>
          <w:color w:val="000000" w:themeColor="text1"/>
        </w:rPr>
        <w:t>(C) Overall risk distribution by assessment tool. Summarizes the results from both tools, showing the number or proportion of studies rated as low, some concerns, and high risk of bias overall.</w:t>
      </w:r>
      <w:r w:rsidRPr="004B546E">
        <w:rPr>
          <w:rFonts w:hint="eastAsia"/>
          <w:color w:val="000000" w:themeColor="text1"/>
        </w:rPr>
        <w:t xml:space="preserve"> </w:t>
      </w:r>
    </w:p>
    <w:p w14:paraId="1AA4A131" w14:textId="20D9DB0D" w:rsidR="006600F4" w:rsidRPr="004B546E" w:rsidRDefault="006600F4" w:rsidP="006600F4">
      <w:pPr>
        <w:rPr>
          <w:rFonts w:ascii="Times New Roman" w:hAnsi="Times New Roman" w:cs="Times New Roman"/>
          <w:color w:val="000000" w:themeColor="text1"/>
        </w:rPr>
      </w:pPr>
      <w:r w:rsidRPr="004B546E">
        <w:rPr>
          <w:rFonts w:ascii="Times New Roman" w:hAnsi="Times New Roman" w:cs="Times New Roman"/>
          <w:b/>
          <w:bCs/>
          <w:color w:val="000000" w:themeColor="text1"/>
        </w:rPr>
        <w:t xml:space="preserve">Figure </w:t>
      </w:r>
      <w:r w:rsidR="004B546E">
        <w:rPr>
          <w:rFonts w:ascii="Times New Roman" w:hAnsi="Times New Roman" w:cs="Times New Roman"/>
          <w:b/>
          <w:bCs/>
          <w:color w:val="000000" w:themeColor="text1"/>
        </w:rPr>
        <w:t>2</w:t>
      </w:r>
      <w:r w:rsidRPr="004B546E">
        <w:rPr>
          <w:rFonts w:ascii="Times New Roman" w:hAnsi="Times New Roman" w:cs="Times New Roman"/>
          <w:b/>
          <w:bCs/>
          <w:color w:val="000000" w:themeColor="text1"/>
        </w:rPr>
        <w:t>.</w:t>
      </w:r>
      <w:r w:rsidRPr="004B546E">
        <w:rPr>
          <w:rFonts w:ascii="Times New Roman" w:hAnsi="Times New Roman" w:cs="Times New Roman"/>
          <w:color w:val="000000" w:themeColor="text1"/>
        </w:rPr>
        <w:t xml:space="preserve"> PRISMA 2020 Flow Diagram</w:t>
      </w:r>
      <w:r w:rsidRPr="004B546E">
        <w:rPr>
          <w:rFonts w:ascii="Times New Roman" w:hAnsi="Times New Roman" w:cs="Times New Roman" w:hint="eastAsia"/>
          <w:color w:val="000000" w:themeColor="text1"/>
        </w:rPr>
        <w:t>.</w:t>
      </w:r>
      <w:r w:rsidRPr="004B546E">
        <w:rPr>
          <w:rFonts w:ascii="Times New Roman" w:hAnsi="Times New Roman" w:cs="Times New Roman"/>
          <w:color w:val="000000" w:themeColor="text1"/>
        </w:rPr>
        <w:t xml:space="preserve"> </w:t>
      </w:r>
    </w:p>
    <w:p w14:paraId="7A732426" w14:textId="52BB38BE" w:rsidR="006600F4" w:rsidRPr="004B546E" w:rsidRDefault="006600F4" w:rsidP="006600F4">
      <w:pPr>
        <w:rPr>
          <w:rFonts w:ascii="Times New Roman" w:hAnsi="Times New Roman" w:cs="Times New Roman"/>
          <w:color w:val="000000" w:themeColor="text1"/>
        </w:rPr>
      </w:pPr>
      <w:r w:rsidRPr="004B546E">
        <w:rPr>
          <w:rFonts w:ascii="Times New Roman" w:hAnsi="Times New Roman" w:cs="Times New Roman"/>
          <w:b/>
          <w:bCs/>
          <w:color w:val="000000" w:themeColor="text1"/>
        </w:rPr>
        <w:t xml:space="preserve">Figure </w:t>
      </w:r>
      <w:r w:rsidR="004B546E">
        <w:rPr>
          <w:rFonts w:ascii="Times New Roman" w:hAnsi="Times New Roman" w:cs="Times New Roman"/>
          <w:b/>
          <w:bCs/>
          <w:color w:val="000000" w:themeColor="text1"/>
        </w:rPr>
        <w:t>3</w:t>
      </w:r>
      <w:r w:rsidRPr="004B546E">
        <w:rPr>
          <w:rFonts w:ascii="Times New Roman" w:hAnsi="Times New Roman" w:cs="Times New Roman"/>
          <w:b/>
          <w:bCs/>
          <w:color w:val="000000" w:themeColor="text1"/>
        </w:rPr>
        <w:t>.</w:t>
      </w:r>
      <w:r w:rsidRPr="004B546E">
        <w:rPr>
          <w:rFonts w:ascii="Times New Roman" w:hAnsi="Times New Roman" w:cs="Times New Roman"/>
          <w:color w:val="000000" w:themeColor="text1"/>
        </w:rPr>
        <w:t xml:space="preserve"> Forest plot: catheter failure or premature removal, USG vs landmark PIVCs (k = 4: 2 RCTs + 2 cohort studies). Random-effects (DerSimonian-Laird) pooled estimate shown; the borderline signal (RR 1.23, 95% CI </w:t>
      </w:r>
      <w:r w:rsidR="004B546E">
        <w:rPr>
          <w:rFonts w:ascii="Times New Roman" w:hAnsi="Times New Roman" w:cs="Times New Roman"/>
          <w:color w:val="000000" w:themeColor="text1"/>
        </w:rPr>
        <w:t>1</w:t>
      </w:r>
      <w:r w:rsidRPr="004B546E">
        <w:rPr>
          <w:rFonts w:ascii="Times New Roman" w:hAnsi="Times New Roman" w:cs="Times New Roman"/>
          <w:color w:val="000000" w:themeColor="text1"/>
        </w:rPr>
        <w:t>.</w:t>
      </w:r>
      <w:r w:rsidR="004B546E">
        <w:rPr>
          <w:rFonts w:ascii="Times New Roman" w:hAnsi="Times New Roman" w:cs="Times New Roman"/>
          <w:color w:val="000000" w:themeColor="text1"/>
        </w:rPr>
        <w:t>00</w:t>
      </w:r>
      <w:r w:rsidRPr="004B546E">
        <w:rPr>
          <w:rFonts w:ascii="Times New Roman" w:hAnsi="Times New Roman" w:cs="Times New Roman"/>
          <w:color w:val="000000" w:themeColor="text1"/>
        </w:rPr>
        <w:t>–1.51, p = 0.056) is driven primarily by the cohort component (see Results, Catheter Failure). PIVC type and intravascular catheter-segment length are reported in Table 1 where available; standard short PIVCs predominate in the four pooled studies.</w:t>
      </w:r>
    </w:p>
    <w:p w14:paraId="2E3EB35A" w14:textId="2EB34D7F" w:rsidR="006600F4" w:rsidRPr="004B546E" w:rsidRDefault="006600F4" w:rsidP="006600F4">
      <w:pPr>
        <w:rPr>
          <w:rFonts w:ascii="Times New Roman" w:hAnsi="Times New Roman" w:cs="Times New Roman"/>
          <w:color w:val="000000" w:themeColor="text1"/>
        </w:rPr>
      </w:pPr>
      <w:r w:rsidRPr="004B546E">
        <w:rPr>
          <w:rFonts w:ascii="Times New Roman" w:hAnsi="Times New Roman" w:cs="Times New Roman"/>
          <w:b/>
          <w:bCs/>
          <w:color w:val="000000" w:themeColor="text1"/>
        </w:rPr>
        <w:t xml:space="preserve">Figure </w:t>
      </w:r>
      <w:r w:rsidR="00031681">
        <w:rPr>
          <w:rFonts w:ascii="Times New Roman" w:hAnsi="Times New Roman" w:cs="Times New Roman"/>
          <w:b/>
          <w:bCs/>
          <w:color w:val="000000" w:themeColor="text1"/>
        </w:rPr>
        <w:t>4</w:t>
      </w:r>
      <w:r w:rsidRPr="004B546E">
        <w:rPr>
          <w:rFonts w:ascii="Times New Roman" w:hAnsi="Times New Roman" w:cs="Times New Roman"/>
          <w:b/>
          <w:bCs/>
          <w:color w:val="000000" w:themeColor="text1"/>
        </w:rPr>
        <w:t>.</w:t>
      </w:r>
      <w:r w:rsidRPr="004B546E">
        <w:rPr>
          <w:rFonts w:ascii="Times New Roman" w:hAnsi="Times New Roman" w:cs="Times New Roman"/>
          <w:color w:val="000000" w:themeColor="text1"/>
        </w:rPr>
        <w:t xml:space="preserve">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(Refosco 2024; Desai 2018; Dachepally 2023; Paladini 2018) are reported in “Studies with major confounding” rather than in this forest plot.</w:t>
      </w:r>
    </w:p>
    <w:p w14:paraId="36734CC0" w14:textId="282A29E5" w:rsidR="006600F4" w:rsidRDefault="006600F4" w:rsidP="006600F4">
      <w:pPr>
        <w:rPr>
          <w:rFonts w:ascii="Times New Roman" w:hAnsi="Times New Roman" w:cs="Times New Roman"/>
          <w:color w:val="000000" w:themeColor="text1"/>
        </w:rPr>
      </w:pPr>
      <w:r w:rsidRPr="004B546E">
        <w:rPr>
          <w:rFonts w:ascii="Times New Roman" w:hAnsi="Times New Roman" w:cs="Times New Roman"/>
          <w:b/>
          <w:bCs/>
          <w:color w:val="000000" w:themeColor="text1"/>
        </w:rPr>
        <w:t xml:space="preserve">Figure </w:t>
      </w:r>
      <w:r w:rsidR="00031681">
        <w:rPr>
          <w:rFonts w:ascii="Times New Roman" w:hAnsi="Times New Roman" w:cs="Times New Roman"/>
          <w:b/>
          <w:bCs/>
          <w:color w:val="000000" w:themeColor="text1"/>
        </w:rPr>
        <w:t>5</w:t>
      </w:r>
      <w:r w:rsidRPr="004B546E">
        <w:rPr>
          <w:rFonts w:ascii="Times New Roman" w:hAnsi="Times New Roman" w:cs="Times New Roman"/>
          <w:b/>
          <w:bCs/>
          <w:color w:val="000000" w:themeColor="text1"/>
        </w:rPr>
        <w:t>.</w:t>
      </w:r>
      <w:r w:rsidRPr="004B546E">
        <w:rPr>
          <w:rFonts w:ascii="Times New Roman" w:hAnsi="Times New Roman" w:cs="Times New Roman"/>
          <w:color w:val="000000" w:themeColor="text1"/>
        </w:rPr>
        <w:t xml:space="preserve"> Forest plot: infiltration (USG vs landmark), k = 2 (1 RCT + 1 cohort, both standard-PIVC). Random-effects pooled RR 0.68 (0.12–3.83); CI is very wide because both studies have low event counts and small samples.</w:t>
      </w:r>
    </w:p>
    <w:p w14:paraId="7495F893" w14:textId="67EE9C29" w:rsidR="00031681" w:rsidRPr="00031681" w:rsidRDefault="00031681" w:rsidP="006600F4">
      <w:pPr>
        <w:rPr>
          <w:rFonts w:ascii="Times New Roman" w:hAnsi="Times New Roman" w:cs="Times New Roman" w:hint="eastAsia"/>
          <w:color w:val="000000" w:themeColor="text1"/>
        </w:rPr>
      </w:pPr>
      <w:r w:rsidRPr="004B546E">
        <w:rPr>
          <w:rFonts w:ascii="Times New Roman" w:hAnsi="Times New Roman" w:cs="Times New Roman"/>
          <w:b/>
          <w:bCs/>
          <w:color w:val="000000" w:themeColor="text1"/>
        </w:rPr>
        <w:t xml:space="preserve">Figure 6. </w:t>
      </w:r>
      <w:r w:rsidRPr="004B546E">
        <w:rPr>
          <w:rFonts w:ascii="Times New Roman" w:hAnsi="Times New Roman" w:cs="Times New Roman"/>
          <w:color w:val="000000" w:themeColor="text1"/>
        </w:rPr>
        <w:t>Individual study estimates (NOT pooled) for catheter survival / premature removal: Feinsmith 2021 (adjusted HR from multivariable Cox model, 30-day follow-up) and Shokoohi 2019 (cumulative-incidence RR at fixed 72-hour follow-up). The pooled diamond is intentionally suppressed because HR and cumulative-incidence RR are conceptually different effect measures and pooling them on the log-HR scale would mix incompatible quantities.</w:t>
      </w:r>
    </w:p>
    <w:p w14:paraId="00543F6A" w14:textId="3C0BB4F7" w:rsidR="006600F4" w:rsidRPr="004B546E" w:rsidRDefault="006600F4" w:rsidP="006600F4">
      <w:pPr>
        <w:rPr>
          <w:rFonts w:ascii="Times New Roman" w:hAnsi="Times New Roman" w:cs="Times New Roman"/>
          <w:color w:val="000000" w:themeColor="text1"/>
        </w:rPr>
      </w:pPr>
      <w:r w:rsidRPr="004B546E">
        <w:rPr>
          <w:rFonts w:ascii="Times New Roman" w:hAnsi="Times New Roman" w:cs="Times New Roman"/>
          <w:b/>
          <w:bCs/>
          <w:color w:val="000000" w:themeColor="text1"/>
        </w:rPr>
        <w:t xml:space="preserve">Figure </w:t>
      </w:r>
      <w:r w:rsidR="00031681">
        <w:rPr>
          <w:rFonts w:ascii="Times New Roman" w:hAnsi="Times New Roman" w:cs="Times New Roman"/>
          <w:b/>
          <w:bCs/>
          <w:color w:val="000000" w:themeColor="text1"/>
        </w:rPr>
        <w:t>7</w:t>
      </w:r>
      <w:r w:rsidRPr="004B546E">
        <w:rPr>
          <w:rFonts w:ascii="Times New Roman" w:hAnsi="Times New Roman" w:cs="Times New Roman"/>
          <w:b/>
          <w:bCs/>
          <w:color w:val="000000" w:themeColor="text1"/>
        </w:rPr>
        <w:t>.</w:t>
      </w:r>
      <w:r w:rsidRPr="004B546E">
        <w:rPr>
          <w:rFonts w:ascii="Times New Roman" w:hAnsi="Times New Roman" w:cs="Times New Roman"/>
          <w:color w:val="000000" w:themeColor="text1"/>
        </w:rPr>
        <w:t xml:space="preserve"> Forest plot: catheter failure subgroup by age (adult vs paediatric, k = 4 same as Figure 2). The adult subgroup contains 2 cohorts + 1 conference abstract (Saltarelli 2015 dominates the adult weight); the paediatric subgroup contains a single RCT (Kleidon 2025). Subgroup-by-effect interaction not statistically significant (p = 0.32) and severely underpowered.</w:t>
      </w:r>
    </w:p>
    <w:p w14:paraId="33A2E429" w14:textId="77777777" w:rsidR="00DE6901" w:rsidRDefault="00DE6901" w:rsidP="00DE6901"/>
    <w:p w14:paraId="2C7222AB" w14:textId="77777777" w:rsidR="00DE6901" w:rsidRDefault="00DE6901" w:rsidP="00DE6901"/>
    <w:p w14:paraId="32741196" w14:textId="77777777" w:rsidR="00DE6901" w:rsidRDefault="00DE6901" w:rsidP="00DE6901"/>
    <w:p w14:paraId="3154D438" w14:textId="77777777" w:rsidR="00DE6901" w:rsidRDefault="00DE6901" w:rsidP="00DE6901"/>
    <w:p w14:paraId="4F676404" w14:textId="77777777" w:rsidR="00221FF2" w:rsidRDefault="00221FF2" w:rsidP="00DE6901"/>
    <w:p w14:paraId="1C6F2CAD" w14:textId="44123053" w:rsidR="00DE6901" w:rsidRPr="00DE6901" w:rsidRDefault="00DE6901" w:rsidP="00DE6901"/>
    <w:sectPr w:rsidR="00DE6901" w:rsidRPr="00DE6901" w:rsidSect="008234FE">
      <w:pgSz w:w="11906" w:h="16838"/>
      <w:pgMar w:top="1440" w:right="1797" w:bottom="1440" w:left="179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79CE8" w14:textId="77777777" w:rsidR="00706F4C" w:rsidRDefault="00706F4C" w:rsidP="008657A6">
      <w:r>
        <w:separator/>
      </w:r>
    </w:p>
  </w:endnote>
  <w:endnote w:type="continuationSeparator" w:id="0">
    <w:p w14:paraId="79E5E81F" w14:textId="77777777" w:rsidR="00706F4C" w:rsidRDefault="00706F4C" w:rsidP="00865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CE2ED" w14:textId="77777777" w:rsidR="00706F4C" w:rsidRDefault="00706F4C" w:rsidP="008657A6">
      <w:r>
        <w:separator/>
      </w:r>
    </w:p>
  </w:footnote>
  <w:footnote w:type="continuationSeparator" w:id="0">
    <w:p w14:paraId="56AF7AF3" w14:textId="77777777" w:rsidR="00706F4C" w:rsidRDefault="00706F4C" w:rsidP="008657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85BAD"/>
    <w:multiLevelType w:val="multilevel"/>
    <w:tmpl w:val="1444B5E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9ts2exntp0e9e55s3p5fzdtt90x022atz9&quot;&gt;upvic My EndNote Library&lt;record-ids&gt;&lt;item&gt;1&lt;/item&gt;&lt;item&gt;2&lt;/item&gt;&lt;item&gt;3&lt;/item&gt;&lt;item&gt;4&lt;/item&gt;&lt;item&gt;6&lt;/item&gt;&lt;item&gt;7&lt;/item&gt;&lt;item&gt;8&lt;/item&gt;&lt;item&gt;9&lt;/item&gt;&lt;item&gt;10&lt;/item&gt;&lt;item&gt;11&lt;/item&gt;&lt;item&gt;12&lt;/item&gt;&lt;item&gt;13&lt;/item&gt;&lt;item&gt;15&lt;/item&gt;&lt;item&gt;17&lt;/item&gt;&lt;item&gt;18&lt;/item&gt;&lt;item&gt;21&lt;/item&gt;&lt;item&gt;23&lt;/item&gt;&lt;item&gt;26&lt;/item&gt;&lt;item&gt;29&lt;/item&gt;&lt;item&gt;34&lt;/item&gt;&lt;item&gt;35&lt;/item&gt;&lt;item&gt;36&lt;/item&gt;&lt;item&gt;37&lt;/item&gt;&lt;item&gt;40&lt;/item&gt;&lt;item&gt;41&lt;/item&gt;&lt;item&gt;44&lt;/item&gt;&lt;item&gt;45&lt;/item&gt;&lt;item&gt;48&lt;/item&gt;&lt;item&gt;53&lt;/item&gt;&lt;item&gt;58&lt;/item&gt;&lt;item&gt;61&lt;/item&gt;&lt;item&gt;65&lt;/item&gt;&lt;item&gt;66&lt;/item&gt;&lt;item&gt;70&lt;/item&gt;&lt;item&gt;71&lt;/item&gt;&lt;item&gt;74&lt;/item&gt;&lt;item&gt;75&lt;/item&gt;&lt;item&gt;79&lt;/item&gt;&lt;item&gt;81&lt;/item&gt;&lt;item&gt;83&lt;/item&gt;&lt;item&gt;84&lt;/item&gt;&lt;item&gt;85&lt;/item&gt;&lt;item&gt;86&lt;/item&gt;&lt;item&gt;91&lt;/item&gt;&lt;item&gt;92&lt;/item&gt;&lt;item&gt;93&lt;/item&gt;&lt;item&gt;100&lt;/item&gt;&lt;item&gt;102&lt;/item&gt;&lt;item&gt;105&lt;/item&gt;&lt;item&gt;106&lt;/item&gt;&lt;item&gt;108&lt;/item&gt;&lt;item&gt;112&lt;/item&gt;&lt;item&gt;113&lt;/item&gt;&lt;item&gt;115&lt;/item&gt;&lt;item&gt;116&lt;/item&gt;&lt;item&gt;117&lt;/item&gt;&lt;item&gt;123&lt;/item&gt;&lt;item&gt;125&lt;/item&gt;&lt;item&gt;130&lt;/item&gt;&lt;item&gt;134&lt;/item&gt;&lt;item&gt;135&lt;/item&gt;&lt;item&gt;137&lt;/item&gt;&lt;item&gt;143&lt;/item&gt;&lt;item&gt;144&lt;/item&gt;&lt;item&gt;148&lt;/item&gt;&lt;/record-ids&gt;&lt;/item&gt;&lt;/Libraries&gt;"/>
  </w:docVars>
  <w:rsids>
    <w:rsidRoot w:val="00075FAB"/>
    <w:rsid w:val="00007E82"/>
    <w:rsid w:val="000151BC"/>
    <w:rsid w:val="0002327D"/>
    <w:rsid w:val="00025929"/>
    <w:rsid w:val="00031681"/>
    <w:rsid w:val="0004093B"/>
    <w:rsid w:val="000455F6"/>
    <w:rsid w:val="0005038C"/>
    <w:rsid w:val="000566D7"/>
    <w:rsid w:val="00056E2B"/>
    <w:rsid w:val="0007027A"/>
    <w:rsid w:val="00075FAB"/>
    <w:rsid w:val="00092762"/>
    <w:rsid w:val="00092C15"/>
    <w:rsid w:val="00094427"/>
    <w:rsid w:val="000C606F"/>
    <w:rsid w:val="000E0617"/>
    <w:rsid w:val="000E2EE9"/>
    <w:rsid w:val="000F75FC"/>
    <w:rsid w:val="0010284A"/>
    <w:rsid w:val="00110982"/>
    <w:rsid w:val="001116A8"/>
    <w:rsid w:val="0011305E"/>
    <w:rsid w:val="00117EFE"/>
    <w:rsid w:val="00127411"/>
    <w:rsid w:val="0013773F"/>
    <w:rsid w:val="001601A2"/>
    <w:rsid w:val="00175071"/>
    <w:rsid w:val="00180BFA"/>
    <w:rsid w:val="001927D4"/>
    <w:rsid w:val="001A16AD"/>
    <w:rsid w:val="001C245D"/>
    <w:rsid w:val="001D7730"/>
    <w:rsid w:val="00203DF2"/>
    <w:rsid w:val="00220576"/>
    <w:rsid w:val="00221FF2"/>
    <w:rsid w:val="00275635"/>
    <w:rsid w:val="002B24AB"/>
    <w:rsid w:val="002C47F9"/>
    <w:rsid w:val="002D0433"/>
    <w:rsid w:val="002D6A0C"/>
    <w:rsid w:val="002E3DCE"/>
    <w:rsid w:val="002E7312"/>
    <w:rsid w:val="002F014E"/>
    <w:rsid w:val="002F5411"/>
    <w:rsid w:val="002F6846"/>
    <w:rsid w:val="00312CB8"/>
    <w:rsid w:val="003213B6"/>
    <w:rsid w:val="0033334E"/>
    <w:rsid w:val="00343C06"/>
    <w:rsid w:val="003466D4"/>
    <w:rsid w:val="003473E8"/>
    <w:rsid w:val="003549C0"/>
    <w:rsid w:val="003626CA"/>
    <w:rsid w:val="00386DE3"/>
    <w:rsid w:val="00395FAA"/>
    <w:rsid w:val="003A5A92"/>
    <w:rsid w:val="00401F67"/>
    <w:rsid w:val="00402E88"/>
    <w:rsid w:val="004053B7"/>
    <w:rsid w:val="00411779"/>
    <w:rsid w:val="00415D73"/>
    <w:rsid w:val="004211DD"/>
    <w:rsid w:val="00421CF0"/>
    <w:rsid w:val="00425EBD"/>
    <w:rsid w:val="00432262"/>
    <w:rsid w:val="004343D9"/>
    <w:rsid w:val="0043668C"/>
    <w:rsid w:val="00443868"/>
    <w:rsid w:val="0047063C"/>
    <w:rsid w:val="00480DDF"/>
    <w:rsid w:val="00480EBA"/>
    <w:rsid w:val="004825BB"/>
    <w:rsid w:val="00484D93"/>
    <w:rsid w:val="00491784"/>
    <w:rsid w:val="004A10C8"/>
    <w:rsid w:val="004B33BD"/>
    <w:rsid w:val="004B4D11"/>
    <w:rsid w:val="004B546E"/>
    <w:rsid w:val="004B5FAC"/>
    <w:rsid w:val="004C3115"/>
    <w:rsid w:val="004D1CA6"/>
    <w:rsid w:val="004D1E8B"/>
    <w:rsid w:val="004D4BBA"/>
    <w:rsid w:val="00512791"/>
    <w:rsid w:val="005324FC"/>
    <w:rsid w:val="00582236"/>
    <w:rsid w:val="00593274"/>
    <w:rsid w:val="00596474"/>
    <w:rsid w:val="005B149A"/>
    <w:rsid w:val="005B1A93"/>
    <w:rsid w:val="005C1472"/>
    <w:rsid w:val="005C4A1E"/>
    <w:rsid w:val="005E28D5"/>
    <w:rsid w:val="005E3FDF"/>
    <w:rsid w:val="005E72C8"/>
    <w:rsid w:val="00603370"/>
    <w:rsid w:val="0061036B"/>
    <w:rsid w:val="00617112"/>
    <w:rsid w:val="00622EF2"/>
    <w:rsid w:val="006600F4"/>
    <w:rsid w:val="00661387"/>
    <w:rsid w:val="0067207B"/>
    <w:rsid w:val="006833CE"/>
    <w:rsid w:val="006951F5"/>
    <w:rsid w:val="00697A69"/>
    <w:rsid w:val="006A12BD"/>
    <w:rsid w:val="006A57D0"/>
    <w:rsid w:val="006C23AD"/>
    <w:rsid w:val="006C2A13"/>
    <w:rsid w:val="006C5121"/>
    <w:rsid w:val="006C6E4D"/>
    <w:rsid w:val="006D4A51"/>
    <w:rsid w:val="006E2162"/>
    <w:rsid w:val="006F578B"/>
    <w:rsid w:val="00706F4C"/>
    <w:rsid w:val="007141BF"/>
    <w:rsid w:val="00726C74"/>
    <w:rsid w:val="00746EA6"/>
    <w:rsid w:val="00754B50"/>
    <w:rsid w:val="007835C1"/>
    <w:rsid w:val="007872FC"/>
    <w:rsid w:val="00795F94"/>
    <w:rsid w:val="007E3934"/>
    <w:rsid w:val="00805C28"/>
    <w:rsid w:val="00821E53"/>
    <w:rsid w:val="008234FE"/>
    <w:rsid w:val="0084062E"/>
    <w:rsid w:val="008517E2"/>
    <w:rsid w:val="00851BB0"/>
    <w:rsid w:val="00853180"/>
    <w:rsid w:val="00861784"/>
    <w:rsid w:val="008657A6"/>
    <w:rsid w:val="00873B0E"/>
    <w:rsid w:val="0089038D"/>
    <w:rsid w:val="00893745"/>
    <w:rsid w:val="008A270F"/>
    <w:rsid w:val="008A55E4"/>
    <w:rsid w:val="008A59D6"/>
    <w:rsid w:val="008B0DE3"/>
    <w:rsid w:val="008B3960"/>
    <w:rsid w:val="008C449E"/>
    <w:rsid w:val="008C4770"/>
    <w:rsid w:val="008D2EB2"/>
    <w:rsid w:val="008E75E3"/>
    <w:rsid w:val="00907A12"/>
    <w:rsid w:val="00912AF1"/>
    <w:rsid w:val="00930025"/>
    <w:rsid w:val="00950EF2"/>
    <w:rsid w:val="0095471B"/>
    <w:rsid w:val="00967EB0"/>
    <w:rsid w:val="0097046A"/>
    <w:rsid w:val="00975014"/>
    <w:rsid w:val="00975A85"/>
    <w:rsid w:val="00987B1E"/>
    <w:rsid w:val="00992385"/>
    <w:rsid w:val="00994181"/>
    <w:rsid w:val="009B25C7"/>
    <w:rsid w:val="009D6FE2"/>
    <w:rsid w:val="009E520C"/>
    <w:rsid w:val="009E6D78"/>
    <w:rsid w:val="00A043DE"/>
    <w:rsid w:val="00A176B8"/>
    <w:rsid w:val="00A57FE9"/>
    <w:rsid w:val="00A62108"/>
    <w:rsid w:val="00A6622D"/>
    <w:rsid w:val="00A83B9B"/>
    <w:rsid w:val="00AB793A"/>
    <w:rsid w:val="00AB7B15"/>
    <w:rsid w:val="00AC73D0"/>
    <w:rsid w:val="00B1006A"/>
    <w:rsid w:val="00B101E0"/>
    <w:rsid w:val="00B12487"/>
    <w:rsid w:val="00B27042"/>
    <w:rsid w:val="00B30C89"/>
    <w:rsid w:val="00B378C3"/>
    <w:rsid w:val="00B421D7"/>
    <w:rsid w:val="00B42B61"/>
    <w:rsid w:val="00B5622F"/>
    <w:rsid w:val="00B57C32"/>
    <w:rsid w:val="00B6503A"/>
    <w:rsid w:val="00B83D82"/>
    <w:rsid w:val="00BA5142"/>
    <w:rsid w:val="00BB15BB"/>
    <w:rsid w:val="00BB2DB4"/>
    <w:rsid w:val="00BB332F"/>
    <w:rsid w:val="00BB52E3"/>
    <w:rsid w:val="00BC5E0F"/>
    <w:rsid w:val="00BD796C"/>
    <w:rsid w:val="00BE2B72"/>
    <w:rsid w:val="00C00D43"/>
    <w:rsid w:val="00C047E0"/>
    <w:rsid w:val="00C12F80"/>
    <w:rsid w:val="00C23091"/>
    <w:rsid w:val="00C358B2"/>
    <w:rsid w:val="00C35999"/>
    <w:rsid w:val="00C539CE"/>
    <w:rsid w:val="00C86F56"/>
    <w:rsid w:val="00CA721C"/>
    <w:rsid w:val="00CC2FA3"/>
    <w:rsid w:val="00CD1F3F"/>
    <w:rsid w:val="00CD4B9F"/>
    <w:rsid w:val="00D152B9"/>
    <w:rsid w:val="00D228FC"/>
    <w:rsid w:val="00D327FC"/>
    <w:rsid w:val="00D358F5"/>
    <w:rsid w:val="00D414C2"/>
    <w:rsid w:val="00D450CA"/>
    <w:rsid w:val="00D5713B"/>
    <w:rsid w:val="00D61449"/>
    <w:rsid w:val="00D661FF"/>
    <w:rsid w:val="00D772A7"/>
    <w:rsid w:val="00D8073C"/>
    <w:rsid w:val="00D84CF1"/>
    <w:rsid w:val="00D84F58"/>
    <w:rsid w:val="00DB7677"/>
    <w:rsid w:val="00DC752A"/>
    <w:rsid w:val="00DD2D9A"/>
    <w:rsid w:val="00DD3DD5"/>
    <w:rsid w:val="00DD5C2F"/>
    <w:rsid w:val="00DD7B3D"/>
    <w:rsid w:val="00DE2968"/>
    <w:rsid w:val="00DE5050"/>
    <w:rsid w:val="00DE6901"/>
    <w:rsid w:val="00E02285"/>
    <w:rsid w:val="00E1595D"/>
    <w:rsid w:val="00E304C6"/>
    <w:rsid w:val="00E47D88"/>
    <w:rsid w:val="00E52C6A"/>
    <w:rsid w:val="00E56D8D"/>
    <w:rsid w:val="00E64E27"/>
    <w:rsid w:val="00E64F27"/>
    <w:rsid w:val="00E8378C"/>
    <w:rsid w:val="00E92FA0"/>
    <w:rsid w:val="00EB0A7A"/>
    <w:rsid w:val="00EC4628"/>
    <w:rsid w:val="00EF7C10"/>
    <w:rsid w:val="00F05E0F"/>
    <w:rsid w:val="00F3667F"/>
    <w:rsid w:val="00F5007C"/>
    <w:rsid w:val="00F609EB"/>
    <w:rsid w:val="00F70F73"/>
    <w:rsid w:val="00F7724C"/>
    <w:rsid w:val="00F853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7BC3FF"/>
  <w15:chartTrackingRefBased/>
  <w15:docId w15:val="{B0626E69-6B8E-439A-8713-D1ECC732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0"/>
    <w:link w:val="20"/>
    <w:uiPriority w:val="9"/>
    <w:semiHidden/>
    <w:unhideWhenUsed/>
    <w:qFormat/>
    <w:rsid w:val="007872FC"/>
    <w:pPr>
      <w:keepNext/>
      <w:keepLines/>
      <w:widowControl/>
      <w:spacing w:before="160" w:after="80"/>
      <w:outlineLvl w:val="1"/>
    </w:pPr>
    <w:rPr>
      <w:rFonts w:asciiTheme="majorHAnsi" w:eastAsiaTheme="majorEastAsia" w:hAnsiTheme="majorHAnsi" w:cstheme="majorBidi"/>
      <w:color w:val="2F5496" w:themeColor="accent1" w:themeShade="BF"/>
      <w:kern w:val="0"/>
      <w:sz w:val="32"/>
      <w:szCs w:val="32"/>
      <w:lang w:eastAsia="en-US"/>
    </w:rPr>
  </w:style>
  <w:style w:type="paragraph" w:styleId="3">
    <w:name w:val="heading 3"/>
    <w:basedOn w:val="a"/>
    <w:next w:val="a"/>
    <w:link w:val="30"/>
    <w:uiPriority w:val="9"/>
    <w:semiHidden/>
    <w:unhideWhenUsed/>
    <w:qFormat/>
    <w:rsid w:val="00853180"/>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853180"/>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FirstParagraph">
    <w:name w:val="First Paragraph"/>
    <w:basedOn w:val="a0"/>
    <w:next w:val="a0"/>
    <w:qFormat/>
    <w:rsid w:val="00075FAB"/>
    <w:pPr>
      <w:widowControl/>
      <w:spacing w:before="180" w:after="180"/>
    </w:pPr>
    <w:rPr>
      <w:kern w:val="0"/>
      <w:szCs w:val="24"/>
      <w:lang w:eastAsia="en-US"/>
    </w:rPr>
  </w:style>
  <w:style w:type="paragraph" w:styleId="a0">
    <w:name w:val="Body Text"/>
    <w:basedOn w:val="a"/>
    <w:link w:val="a4"/>
    <w:uiPriority w:val="99"/>
    <w:unhideWhenUsed/>
    <w:rsid w:val="00075FAB"/>
    <w:pPr>
      <w:spacing w:after="120"/>
    </w:pPr>
  </w:style>
  <w:style w:type="character" w:customStyle="1" w:styleId="a4">
    <w:name w:val="本文 字元"/>
    <w:basedOn w:val="a1"/>
    <w:link w:val="a0"/>
    <w:uiPriority w:val="99"/>
    <w:rsid w:val="00075FAB"/>
  </w:style>
  <w:style w:type="character" w:styleId="a5">
    <w:name w:val="Hyperlink"/>
    <w:basedOn w:val="a1"/>
    <w:uiPriority w:val="99"/>
    <w:unhideWhenUsed/>
    <w:rsid w:val="00BB52E3"/>
    <w:rPr>
      <w:color w:val="0563C1" w:themeColor="hyperlink"/>
      <w:u w:val="single"/>
    </w:rPr>
  </w:style>
  <w:style w:type="character" w:customStyle="1" w:styleId="20">
    <w:name w:val="標題 2 字元"/>
    <w:basedOn w:val="a1"/>
    <w:link w:val="2"/>
    <w:uiPriority w:val="9"/>
    <w:semiHidden/>
    <w:rsid w:val="007872FC"/>
    <w:rPr>
      <w:rFonts w:asciiTheme="majorHAnsi" w:eastAsiaTheme="majorEastAsia" w:hAnsiTheme="majorHAnsi" w:cstheme="majorBidi"/>
      <w:color w:val="2F5496" w:themeColor="accent1" w:themeShade="BF"/>
      <w:kern w:val="0"/>
      <w:sz w:val="32"/>
      <w:szCs w:val="32"/>
      <w:lang w:eastAsia="en-US"/>
    </w:rPr>
  </w:style>
  <w:style w:type="character" w:customStyle="1" w:styleId="30">
    <w:name w:val="標題 3 字元"/>
    <w:basedOn w:val="a1"/>
    <w:link w:val="3"/>
    <w:uiPriority w:val="9"/>
    <w:semiHidden/>
    <w:rsid w:val="00853180"/>
    <w:rPr>
      <w:rFonts w:asciiTheme="majorHAnsi" w:eastAsiaTheme="majorEastAsia" w:hAnsiTheme="majorHAnsi" w:cstheme="majorBidi"/>
      <w:b/>
      <w:bCs/>
      <w:sz w:val="36"/>
      <w:szCs w:val="36"/>
    </w:rPr>
  </w:style>
  <w:style w:type="character" w:customStyle="1" w:styleId="40">
    <w:name w:val="標題 4 字元"/>
    <w:basedOn w:val="a1"/>
    <w:link w:val="4"/>
    <w:uiPriority w:val="9"/>
    <w:semiHidden/>
    <w:rsid w:val="00853180"/>
    <w:rPr>
      <w:rFonts w:asciiTheme="majorHAnsi" w:eastAsiaTheme="majorEastAsia" w:hAnsiTheme="majorHAnsi" w:cstheme="majorBidi"/>
      <w:sz w:val="36"/>
      <w:szCs w:val="36"/>
    </w:rPr>
  </w:style>
  <w:style w:type="paragraph" w:styleId="a6">
    <w:name w:val="List Paragraph"/>
    <w:basedOn w:val="a"/>
    <w:uiPriority w:val="34"/>
    <w:qFormat/>
    <w:rsid w:val="00853180"/>
    <w:pPr>
      <w:ind w:leftChars="200" w:left="480"/>
    </w:pPr>
  </w:style>
  <w:style w:type="paragraph" w:customStyle="1" w:styleId="Compact">
    <w:name w:val="Compact"/>
    <w:basedOn w:val="a0"/>
    <w:qFormat/>
    <w:rsid w:val="007835C1"/>
    <w:pPr>
      <w:widowControl/>
      <w:spacing w:before="36" w:after="36"/>
    </w:pPr>
    <w:rPr>
      <w:kern w:val="0"/>
      <w:szCs w:val="24"/>
      <w:lang w:eastAsia="en-US"/>
    </w:rPr>
  </w:style>
  <w:style w:type="table" w:customStyle="1" w:styleId="Table">
    <w:name w:val="Table"/>
    <w:semiHidden/>
    <w:unhideWhenUsed/>
    <w:qFormat/>
    <w:rsid w:val="007835C1"/>
    <w:pPr>
      <w:spacing w:after="200"/>
    </w:pPr>
    <w:rPr>
      <w:kern w:val="0"/>
      <w:sz w:val="20"/>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7">
    <w:name w:val="header"/>
    <w:basedOn w:val="a"/>
    <w:link w:val="a8"/>
    <w:uiPriority w:val="99"/>
    <w:unhideWhenUsed/>
    <w:rsid w:val="008657A6"/>
    <w:pPr>
      <w:tabs>
        <w:tab w:val="center" w:pos="4153"/>
        <w:tab w:val="right" w:pos="8306"/>
      </w:tabs>
      <w:snapToGrid w:val="0"/>
    </w:pPr>
    <w:rPr>
      <w:sz w:val="20"/>
      <w:szCs w:val="20"/>
    </w:rPr>
  </w:style>
  <w:style w:type="character" w:customStyle="1" w:styleId="a8">
    <w:name w:val="頁首 字元"/>
    <w:basedOn w:val="a1"/>
    <w:link w:val="a7"/>
    <w:uiPriority w:val="99"/>
    <w:rsid w:val="008657A6"/>
    <w:rPr>
      <w:sz w:val="20"/>
      <w:szCs w:val="20"/>
    </w:rPr>
  </w:style>
  <w:style w:type="paragraph" w:styleId="a9">
    <w:name w:val="footer"/>
    <w:basedOn w:val="a"/>
    <w:link w:val="aa"/>
    <w:uiPriority w:val="99"/>
    <w:unhideWhenUsed/>
    <w:rsid w:val="008657A6"/>
    <w:pPr>
      <w:tabs>
        <w:tab w:val="center" w:pos="4153"/>
        <w:tab w:val="right" w:pos="8306"/>
      </w:tabs>
      <w:snapToGrid w:val="0"/>
    </w:pPr>
    <w:rPr>
      <w:sz w:val="20"/>
      <w:szCs w:val="20"/>
    </w:rPr>
  </w:style>
  <w:style w:type="character" w:customStyle="1" w:styleId="aa">
    <w:name w:val="頁尾 字元"/>
    <w:basedOn w:val="a1"/>
    <w:link w:val="a9"/>
    <w:uiPriority w:val="99"/>
    <w:rsid w:val="008657A6"/>
    <w:rPr>
      <w:sz w:val="20"/>
      <w:szCs w:val="20"/>
    </w:rPr>
  </w:style>
  <w:style w:type="paragraph" w:customStyle="1" w:styleId="EndNoteBibliographyTitle">
    <w:name w:val="EndNote Bibliography Title"/>
    <w:basedOn w:val="a"/>
    <w:link w:val="EndNoteBibliographyTitle0"/>
    <w:rsid w:val="00221FF2"/>
    <w:pPr>
      <w:jc w:val="center"/>
    </w:pPr>
    <w:rPr>
      <w:rFonts w:ascii="Calibri" w:hAnsi="Calibri" w:cs="Calibri"/>
      <w:noProof/>
    </w:rPr>
  </w:style>
  <w:style w:type="character" w:customStyle="1" w:styleId="EndNoteBibliographyTitle0">
    <w:name w:val="EndNote Bibliography Title 字元"/>
    <w:basedOn w:val="a1"/>
    <w:link w:val="EndNoteBibliographyTitle"/>
    <w:rsid w:val="00221FF2"/>
    <w:rPr>
      <w:rFonts w:ascii="Calibri" w:hAnsi="Calibri" w:cs="Calibri"/>
      <w:noProof/>
    </w:rPr>
  </w:style>
  <w:style w:type="paragraph" w:customStyle="1" w:styleId="EndNoteBibliography">
    <w:name w:val="EndNote Bibliography"/>
    <w:basedOn w:val="a"/>
    <w:link w:val="EndNoteBibliography0"/>
    <w:rsid w:val="00221FF2"/>
    <w:rPr>
      <w:rFonts w:ascii="Calibri" w:hAnsi="Calibri" w:cs="Calibri"/>
      <w:noProof/>
    </w:rPr>
  </w:style>
  <w:style w:type="character" w:customStyle="1" w:styleId="EndNoteBibliography0">
    <w:name w:val="EndNote Bibliography 字元"/>
    <w:basedOn w:val="a1"/>
    <w:link w:val="EndNoteBibliography"/>
    <w:rsid w:val="00221FF2"/>
    <w:rPr>
      <w:rFonts w:ascii="Calibri" w:hAnsi="Calibri" w:cs="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edlife.c11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18</Pages>
  <Words>7735</Words>
  <Characters>44094</Characters>
  <Application>Microsoft Office Word</Application>
  <DocSecurity>0</DocSecurity>
  <Lines>367</Lines>
  <Paragraphs>103</Paragraphs>
  <ScaleCrop>false</ScaleCrop>
  <Company/>
  <LinksUpToDate>false</LinksUpToDate>
  <CharactersWithSpaces>51726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陳柏銘</dc:creator>
  <cp:keywords/>
  <dc:description/>
  <cp:lastModifiedBy>陳柏銘</cp:lastModifiedBy>
  <cp:revision>19</cp:revision>
  <dcterms:created xsi:type="dcterms:W3CDTF">2026-05-13T08:02:00Z</dcterms:created>
  <dcterms:modified xsi:type="dcterms:W3CDTF">2026-05-14T01:05:00Z</dcterms:modified>
</cp:coreProperties>
</file>