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Post-insertion outcomes of ultrasound-guided versus landmark peripheral intravenous catheters: a systematic review and meta-analysis</w:t>
      </w:r>
    </w:p>
    <w:p>
      <w:r>
        <w:t>Tai-An Lee, MD1,†, Yu-Ling Wang2,†, Jen-Tao Lin3, Po-Ming Chen4, 5, Chia-Ching Chen1, 6*</w:t>
      </w:r>
    </w:p>
    <w:p>
      <w:r>
        <w:t>1 Department of Emergency Medicine, Chang Bing Show Chwan Memorial Hospital</w:t>
      </w:r>
    </w:p>
    <w:p>
      <w:r>
        <w:t>2 Department of Gastroenterology, Chang Bing Show Chwan Memorial Hospital</w:t>
      </w:r>
    </w:p>
    <w:p>
      <w:r>
        <w:t>3Department of Surgery, Show Chwan Memorial Hospital, Changhua, Taiwan, R.O.C.</w:t>
      </w:r>
    </w:p>
    <w:p>
      <w:r>
        <w:t xml:space="preserve">4Research Assistant Center, Show Chwan Memorial Hospital, Changhua, Taiwan </w:t>
      </w:r>
    </w:p>
    <w:p>
      <w:r>
        <w:t>5Department of Nursing, Central Taiwan University of Science and Technology, Taichung, Taiwan</w:t>
      </w:r>
    </w:p>
    <w:p>
      <w:r>
        <w:t>6 Institute for Research into Cancer of the Digestive System (IRCAD) - Taiwan and Asian Institute of TeleSurgery, Show Chwan Health Care System, Changhua, Taiwan</w:t>
      </w:r>
    </w:p>
    <w:p>
      <w:r>
        <w:t>Running title: Ultrasound vs Landmark PIVC Outcomes</w:t>
      </w:r>
    </w:p>
    <w:p>
      <w:r>
        <w:t>Corresponding Author: Chia-Ching Chen</w:t>
      </w:r>
    </w:p>
    <w:p>
      <w:r>
        <w:t>Department of Emergency Medicine, Chang Bing Show Chwan Memorial Hospital, No. 6 Lugong Road. Lukang Zhen, Changhua County, Taiwan, ROC</w:t>
      </w:r>
    </w:p>
    <w:p>
      <w:r>
        <w:t>Tel: +886-4-7813888 ext:71299</w:t>
      </w:r>
    </w:p>
    <w:p>
      <w:r>
        <w:t>E-mail: medlife.c11g@gmail.com</w:t>
      </w:r>
    </w:p>
    <w:p>
      <w:r>
        <w:t>†These authors contributed equally to this work</w:t>
      </w:r>
    </w:p>
    <w:p>
      <w:r>
        <w:rPr>
          <w:b/>
          <w:sz w:val="26"/>
        </w:rPr>
        <w:t>Abstract</w:t>
      </w:r>
    </w:p>
    <w:p>
      <w:r>
        <w:t>Background: Ultrasound-guided (USG) peripheral intravenous catheter (PIVC) insertion improves cannulation success, particularly in patients with difficult intravenous access. Whether USG also improves post-insertion outcomes such as catheter failure, dwell time, and complications remains uncertain.</w:t>
      </w:r>
    </w:p>
    <w:p>
      <w:r>
        <w:t>Methods: We conducted a systematic review and meta-analysis of randomized controlled trials and comparative cohort studies comparing USG with landmark-guided PIVC insertion and reporting at least one post-insertion outcome. PubMed, Embase, Cochrane CENTRAL, and CINAHL were searched from January 2000 to March 2026. Risk of bias was assessed using RoB 2 and the Newcastle-Ottawa Scale. Random-effects meta-analysis used the DerSimonian-Laird estimator as the pre-specified primary approach; REML with Hartung-Knapp-Sidik-Jonkman adjustment was performed as a post-hoc sensitivity analysis because few studies contributed to each pooled outcome.</w:t>
      </w:r>
    </w:p>
    <w:p>
      <w:r>
        <w:t xml:space="preserve">Results: </w:t>
      </w:r>
      <w:r>
        <w:t>Fifteen</w:t>
      </w:r>
      <w:r>
        <w:t xml:space="preserve"> studies (</w:t>
      </w:r>
      <w:r>
        <w:t>6</w:t>
      </w:r>
      <w:r>
        <w:t xml:space="preserve"> randomized trials, 9 cohort studies; </w:t>
      </w:r>
      <w:r>
        <w:t>78,591</w:t>
      </w:r>
      <w:r>
        <w:t xml:space="preserve"> participants) were included </w:t>
      </w:r>
      <w:r>
        <w:t>in the qualitative synthesis</w:t>
      </w:r>
      <w:r>
        <w:t>. Catheter failure did not differ significantly between USG and landmark groups (k = 4; RR 1.23, 95% CI 0.99–1.51; p = 0.056), although the estimate was sensitive to model choice and to exclusion of the largest contributing study. Dwell time and extravasation were not pooled because of substantial heterogeneity (I² = 91.9% and 95.7%, respectively). Infiltration did not differ significantly (</w:t>
      </w:r>
      <w:r>
        <w:t>k = 3; RR 1.30, 95% CI 0.82–2.05</w:t>
      </w:r>
      <w:r>
        <w:t>). Several studies reporting favorable USG results were substantially confounded by systematic differences in catheter length or material between groups.</w:t>
      </w:r>
    </w:p>
    <w:p>
      <w:r>
        <w:t xml:space="preserve">Conclusions: Current evidence does not demonstrate a consistent post-insertion advantage of USG over landmark PIVC placement. Apparent benefits reported in some studies may be influenced by catheter-specification differences rather than by ultrasound guidance itself. Because the evidence base is small and heterogeneous, clinically meaningful benefit or harm cannot be excluded. Adequately powered trials that control for catheter length, gauge, and material are needed to determine whether USG independently influences post-insertion catheter performance. </w:t>
      </w:r>
      <w:r>
        <w:t>These findings are constrained by a small, heterogeneous evidence base, catheter-specification confounding in several positive studies, and low-to-very-low GRADE certainty.</w:t>
      </w:r>
      <w:r>
        <w:t xml:space="preserve"> </w:t>
      </w:r>
    </w:p>
    <w:p>
      <w:r>
        <w:t>Keywords: peripheral intravenous catheter, ultrasound-guided, landmark, difficult intravenous access (DIVA), catheter failure, dwell time, extravasation, systematic review, meta-analysis</w:t>
      </w:r>
    </w:p>
    <w:p>
      <w:r>
        <w:rPr>
          <w:b/>
          <w:sz w:val="26"/>
        </w:rPr>
        <w:t>Introduction</w:t>
      </w:r>
    </w:p>
    <w:p>
      <w:r>
        <w:t>Peripheral intravenous catheter (PIVC) insertion is the most commonly performed invasive procedure in hospitals worldwide, with an estimated one billion catheters placed annually across the globe [1]. Despite its ubiquity, PIVC insertion remains a significant source of patient discomfort, procedural delay, and healthcare resource consumption, particularly among patients with difficult intravenous access (DIVA). Over the past two decades, ultrasound-guided (USG) PIVC insertion has emerged as a widely endorsed technique to improve cannulation success, especially when traditional landmark and palpation methods have failed [2, 3].</w:t>
      </w:r>
    </w:p>
    <w:p>
      <w:r>
        <w:t>The evidence supporting USG PIVC insertion has focused predominantly on insertion success metrics, including first-attempt success rates, overall success rates, number of attempts, and time to successful cannulation. Multiple systematic reviews and meta-analyses have demonstrated that USG improves first-attempt success and reduces the number of skin punctures compared with the landmark technique, findings that have driven the incorporation of USG PIVC into clinical practice guidelines and training curricula [4-6]. However, successful insertion of a PIVC represents only the beginning of the device’s clinical lifecycle. Post-insertion outcomes, including catheter dwell time, catheter failure, phlebitis, infiltration, extravasation, occlusion, dislodgement, and catheter-related infection, are arguably of equal or greater clinical importance, as they determine the functional utility of the catheter and the need for replacement procedures.</w:t>
      </w:r>
    </w:p>
    <w:p>
      <w:r>
        <w:t>Despite the clinical relevance of post-insertion outcomes, no prior systematic review has specifically synthesized the evidence comparing post-insertion performance of USG versus landmark PIVCs. The assumption that improved insertion success will translate into improved catheter longevity and fewer complications has not been rigorously tested. Theoretical concerns exist that USG catheters, which often access deeper veins with standard-length catheters, may be at increased risk of mechanical complications such as infiltration and dislodgement due to a shorter intravenous catheter segment within the vessel lumen [7, 8].</w:t>
      </w:r>
    </w:p>
    <w:p>
      <w:r>
        <w:t xml:space="preserve">We therefore conducted a systematic review and meta-analysis to evaluate post-insertion outcomes of USG compared with landmark PIVC insertion. Our primary outcomes were catheter failure and dwell time. Secondary outcomes included infiltration, extravasation, phlebitis, occlusion, dislodgement, and catheter-related infection. </w:t>
      </w:r>
      <w:r>
        <w:t>Rather than presuming a direction of effect, we evaluated whether post-insertion catheter performance differs between USG and landmark placement.</w:t>
      </w:r>
    </w:p>
    <w:p>
      <w:r>
        <w:rPr>
          <w:b/>
          <w:sz w:val="26"/>
        </w:rPr>
        <w:t>Methods</w:t>
      </w:r>
    </w:p>
    <w:p>
      <w:r>
        <w:rPr>
          <w:b/>
          <w:sz w:val="26"/>
        </w:rPr>
        <w:t>Search Strategy</w:t>
      </w:r>
    </w:p>
    <w:p>
      <w:r>
        <w:t>This systematic review and meta-analysis was conducted in accordance with the Preferred Reporting Items for Systematic Reviews and Meta-Analyses (PRISMA) 2020 guidelines and was prospectively registered in PROSPERO (CRD420261354170) (see Supplementary Material S1). A comprehensive literature search was performed across four electronic databases: PubMed (n = 530), Embase (n = 984), Cochrane CENTRAL (n = 68), and CINAHL (n = 50), yielding 1,632 total records. The search spanned from 1 January 2000 to 27 March 2026 and was restricted to English-language publications. Search terms combined controlled vocabulary and free-text keywords related to three conceptual domains: (1) peripheral intravenous catheterization (e.g., “peripheral venous catheter,” “intravenous cannulation,” “PIVC”); (2) ultrasound guidance (e.g., “ultrasonography,” “ultrasound-guided,” “echography”); and (3) post-insertion outcomes (e.g., “catheter failure,” “dwell time,” “phlebitis,” “infiltration,” “extravasation,” “complications”). Reference lists of included studies and relevant systematic reviews were hand-searched to identify additional eligible records (see Supplementary Material S2).</w:t>
      </w:r>
    </w:p>
    <w:p>
      <w:r>
        <w:rPr>
          <w:b/>
          <w:sz w:val="26"/>
        </w:rPr>
        <w:t>Study Selection</w:t>
      </w:r>
    </w:p>
    <w:p>
      <w:r>
        <w:t xml:space="preserve">After removal of 273 duplicates, 1,359 unique records underwent title and abstract screening by two reviewers </w:t>
      </w:r>
      <w:r>
        <w:t xml:space="preserve">(C.C.C. and Y.L.W.) </w:t>
      </w:r>
      <w:r>
        <w:t>independently in Rayyan (Rayyan Systems Inc., Cambridge, MA, USA). Overall percent agreement was 95.8% (Cohen’s kappa = 0.330). Both reviewers concurrently excluded 1,287 records; 15 were both-reviewer includes; 57 records were single-reviewer includes (4 PI-only, 53 second-reviewer-only). Single-reviewer-include records underwent pre-specified second-pass title/abstract adjudication by the primary reviewer against the PROSPERO PICO; 53 were judged outside scope at this stage with documented reasons (first-attempt insertion outcome; midline/long-peripheral catheter; single-arm; unpublished protocol), and 4 advanced to full-text for confirmation. In total, 19 records advanced to full-text retrieval.</w:t>
      </w:r>
    </w:p>
    <w:p>
      <w:r>
        <w:t xml:space="preserve">All 19 records advancing to full-text consideration were retrieved and screened. </w:t>
      </w:r>
      <w:r>
        <w:t>Full-text eligibility was assessed independently by two reviewers (T.A.L. and Y.L.W.), with the senior author (C.C.C.) adjudicating; after consensus discussion, 15 studies met all inclusion criteria and were included in the final analysis. Four reports were excluded at the full-text stage: (1) Malik et al., single-arm study without a comparator group [9]; (2) one Avelar et al. report (Rev Esc Enferm USP, 2013), available only in Portuguese with no reliable translation [10]; (3) one oncology-nurses report, unpublished at time of search; (4)</w:t>
      </w:r>
      <w:r>
        <w:t xml:space="preserve"> Kleidon et al. (BJN, 2023) [13], a trial-protocol-only publication of the same EPIC trial without post-insertion outcome data, excluded as an overlapping report of the single included EPIC primary publication (Kleidon et al., JAMA Pediatrics, 2025) [12]. A further overlapping EPIC report (Kleidon et al., J Vasc Access, 2022 [11], a conference abstract) was identified and excluded earlier at the title/abstract screening stage.</w:t>
      </w:r>
      <w:r>
        <w:t xml:space="preserve"> Two studies (Desai et al., 2018 [14]; Nishizawa et al., 2020 [15]) were not available through initial institutional access but were subsequently retrieved via interlibrary loan and included in the final analysis (see Supplementary Material S3). </w:t>
      </w:r>
      <w:r>
        <w:t>The English-language report of the Avelar trial (Journal of Infusion Nursing, 2015 [5]) met all eligibility criteria and was included; the 2013 Portuguese article [10] is a companion report of the same trial (ClinicalTrials.gov NCT00930254) rather than a separate study.</w:t>
      </w:r>
    </w:p>
    <w:p>
      <w:r>
        <w:rPr>
          <w:b/>
          <w:sz w:val="26"/>
        </w:rPr>
        <w:t>Eligibility Criteria</w:t>
      </w:r>
    </w:p>
    <w:p>
      <w:r>
        <w:t>Studies were eligible for inclusion if they: (1) directly compared USG with landmark or palpation-guided PIVC insertion; (2) reported at least one post-insertion outcome, including dwell time, catheter failure, phlebitis, infiltration, occlusion, dislodgement, or catheter-related infection; (3) employed a randomized controlled trial (RCT) or comparative cohort design; (4) enrolled human participants; and (5) were published in English between 2000 and 2026.</w:t>
      </w:r>
    </w:p>
    <w:p>
      <w:r>
        <w:rPr>
          <w:b/>
          <w:sz w:val="26"/>
        </w:rPr>
        <w:t>Data Extraction</w:t>
      </w:r>
    </w:p>
    <w:p>
      <w:r>
        <w:t>Data were extracted independently by two reviewers using a standardized form. Extracted variables included: study design, country, setting, sample size by group, participant age and population characteristics (adult vs. pediatric), DIVA status, catheter specifications (length, gauge, material), follow-up duration, and all reported post-insertion outcomes with their effect estimates and measures of variance. For studies reporting median and interquartile range, these were recorded as presented. Authors were not contacted for unpublished data.</w:t>
      </w:r>
    </w:p>
    <w:p>
      <w:r>
        <w:rPr>
          <w:b/>
          <w:sz w:val="26"/>
        </w:rPr>
        <w:t>Risk of Bias Assessment</w:t>
      </w:r>
    </w:p>
    <w:p>
      <w:r>
        <w:t>Risk of bias for RCTs was assessed using the Cochrane Risk of Bias 2 (RoB 2) tool (Figure 1A) across five domains: randomisation process, deviations from intended interventions, missing outcome data, measurement of the outcome, and selection of the reported result. Each RCT was classified as low risk, some concerns, or high risk of bias. Observational studies were evaluated using the Newcastle-Ottawa Scale (NOS) (Figure 1B), with scores ranging from 0 to 9 stars across three domains: selection, comparability, and outcome (Figure 1C).</w:t>
      </w:r>
    </w:p>
    <w:p>
      <w:r>
        <w:rPr>
          <w:b/>
          <w:sz w:val="26"/>
        </w:rPr>
        <w:t>Statistical Analysis</w:t>
      </w:r>
    </w:p>
    <w:p>
      <w:r>
        <w:t xml:space="preserve">Random-effects meta-analyses were conducted using the DerSimonian-Laird (DL) method for outcomes reported by two or more studies with comparable definitions and populations. Risk ratios (RR) with 95% confidence intervals (CI) were calculated for dichotomous outcomes; mean differences (MD) with 95% CI were calculated for continuous outcomes. For studies reporting hazard ratios (HR), these were pooled separately. Statistical heterogeneity was assessed using the </w:t>
      </w:r>
      <w:r>
        <w:t>I²</w:t>
      </w:r>
      <w:r>
        <w:t xml:space="preserve"> statistic, with values of 25%, 50%, and 75% representing low, moderate, and high heterogeneity, respectively. Outcomes with </w:t>
      </w:r>
      <w:r>
        <w:t>I²</w:t>
      </w:r>
      <w:r>
        <w:t xml:space="preserve"> exceeding 75% were not pooled and were described narratively.</w:t>
      </w:r>
    </w:p>
    <w:p>
      <w:r>
        <w:t>Prespecified subgroup analyses were conducted by age group (adult vs. pediatric) and study design (RCT vs. cohort). Sensitivity analyses were performed by restricting the analysis to RCTs only and by leave-one-out analysis to assess the influence of individual studies. Publication bias could not be formally assessed (e.g., by funnel plot or Egger’s test) because fewer than 10 studies contributed to any single pooled analysis. Studies identified as having major confounding by systematic differences in catheter type or length between groups were excluded from the primary meta-analysis and reported separately.</w:t>
      </w:r>
    </w:p>
    <w:p>
      <w:r>
        <w:t>All analyses were performed using R (</w:t>
      </w:r>
      <w:r>
        <w:t>version 4.5.3</w:t>
      </w:r>
      <w:r>
        <w:t xml:space="preserve">) with the meta </w:t>
      </w:r>
      <w:r>
        <w:t>[31]</w:t>
      </w:r>
      <w:r>
        <w:t xml:space="preserve"> and metafor </w:t>
      </w:r>
      <w:r>
        <w:t>[32]</w:t>
      </w:r>
      <w:r>
        <w:t xml:space="preserve"> packages. A two-sided p-value &lt; 0.05 was considered statistically significant.</w:t>
      </w:r>
    </w:p>
    <w:p>
      <w:r>
        <w:t>The DerSimonian-Laird (DL) estimator was the pre-specified primary approach in our PROSPERO protocol, reflecting standard practice in systematic reviews at the time of registration. After the initial analytic run, we recognised that with only 2–4 studies contributing to each outcome, DL standard errors are known to be anti-conservative and the resulting confidence intervals can be narrower than warranted.15 We therefore added a post-hoc sensitivity analysis using the restricted maximum likelihood (REML) estimator and the Hartung-Knapp-Sidik-Jonkman (HKSJ) confidence interval adjustment, which is the currently recommended approach for small-k random-effects meta-analyses. We retain DL as the pre-specified primary estimator (per PROSPERO) but explicitly flag that, where DL and HKSJ estimates straddle the conventional α = 0.05 threshold (as occurs for catheter failure: DL, p = 0.056 vs HKSJ, p = 0.047), interpretation should not hinge on either side of that threshold and the overall pattern of evidence should drive clinical inference rather than a single estimator’s significance.</w:t>
      </w:r>
    </w:p>
    <w:p>
      <w:r>
        <w:rPr>
          <w:b/>
          <w:sz w:val="26"/>
        </w:rPr>
        <w:t>Results</w:t>
      </w:r>
    </w:p>
    <w:p>
      <w:r>
        <w:rPr>
          <w:b/>
          <w:sz w:val="26"/>
        </w:rPr>
        <w:t>Study Characteristics</w:t>
      </w:r>
    </w:p>
    <w:p>
      <w:r>
        <w:t xml:space="preserve">The search identified 1,632 records across four databases. After removing 273 duplicates, 1,359 unique records were screened by title and abstract; 1,287 were excluded by both reviewers, and 72 met a union-inclusion threshold of which 53 single-second-reviewer includes were excluded at second-pass title/abstract adjudication by the primary reviewer (per pre-specified consensus discussion procedure). The remaining 19 records advanced to full-text retrieval and screening; </w:t>
      </w:r>
      <w:r>
        <w:t>4</w:t>
      </w:r>
      <w:r>
        <w:t xml:space="preserve"> were excluded at the full-text stage (1 single-arm comparator absent, </w:t>
      </w:r>
      <w:r>
        <w:t>1 Portuguese-language companion report</w:t>
      </w:r>
      <w:r>
        <w:t xml:space="preserve">, 1 unpublished, 1 duplicate/protocol report of the same EPIC trial), and </w:t>
      </w:r>
      <w:r>
        <w:t>15</w:t>
      </w:r>
      <w:r>
        <w:t xml:space="preserve"> studies met all inclusion criteria and were included in the qualitative synthesis. Of these, subsets contributed to individual meta-analyses depending on outcome reporting and eligibility for pooling (Figure 2; PRISMA flow diagram).</w:t>
      </w:r>
    </w:p>
    <w:p>
      <w:r>
        <w:t xml:space="preserve">The </w:t>
      </w:r>
      <w:r>
        <w:t>15</w:t>
      </w:r>
      <w:r>
        <w:t xml:space="preserve"> included studies comprised </w:t>
      </w:r>
      <w:r>
        <w:t>6</w:t>
      </w:r>
      <w:r>
        <w:t xml:space="preserve"> RCTs and 9 cohort studies, enrolling a total of </w:t>
      </w:r>
      <w:r>
        <w:t>78,591</w:t>
      </w:r>
      <w:r>
        <w:t xml:space="preserve"> participants (Table 1). Studies were conducted in Australia (n = 1), </w:t>
      </w:r>
      <w:r>
        <w:t xml:space="preserve">Brazil (n = 1), </w:t>
      </w:r>
      <w:r>
        <w:t xml:space="preserve">France (n = 1), India (n = 1), Italy (n = 2), Japan (n = 1), and the United States (n = 8). Seven studies enrolled adult participants and </w:t>
      </w:r>
      <w:r>
        <w:t>eight</w:t>
      </w:r>
      <w:r>
        <w:t xml:space="preserve"> enrolled pediatric patients. Settings included the emergency department (n = 8), intensive care unit (n = 3), inpatient hospital setting (n = 2), a quaternary children’s hospital (n = 1)</w:t>
      </w:r>
      <w:r>
        <w:t>, and a pediatric surgical unit (n = 1)</w:t>
      </w:r>
      <w:r>
        <w:t xml:space="preserve"> (Table 1). Six studies specifically enrolled DIVA populations, while the remainder included patients of mixed or all difficulty levels (Table 1).</w:t>
      </w:r>
    </w:p>
    <w:p>
      <w:r>
        <w:t xml:space="preserve">Full study characteristics are detailed in Table 1. Key features are summarized below. Among the </w:t>
      </w:r>
      <w:r>
        <w:t>six</w:t>
      </w:r>
      <w:r>
        <w:t xml:space="preserve"> RCTs, Kleidon et al. (2025) conducted the EPIC trial in 164 pediatric patients (Australia) [12]; Bridey et al. (2018) randomized 114 adult ICU DIVA patients (France) [16]; Varghese et al. (2025) enrolled 90 pediatric ED patients with two-hour follow-up only (India) [17]; Leroux et al. (2023) enrolled 222 adult ED patients but was substantially underpowered (target 582, enrolled 223; USA) [18]; and Nishizawa et al. (2020) randomized 60 adult ICU DIVA patients to nurse-performed USG versus standard care (Japan) [15], reporting post-insertion extravasation as a secondary outcome (13.6% vs 28.5%, p=0.394). </w:t>
      </w:r>
      <w:r>
        <w:t>Avelar et al. (2015) randomized 382 venipunctures in 335 pediatric surgical patients (Brazil) using identical 19-mm catheters in both arms, reporting infiltration and phlebitis as post-insertion outcomes [5].</w:t>
      </w:r>
    </w:p>
    <w:p>
      <w:r>
        <w:t>Among the nine cohort studies, Feinsmith et al. (2021) was the largest (n=43,470 adult DIVA patients; USA) [19]. Shokoohi et al. (2019) prospectively followed 330 adult ED patients with 72-hour follow-up, achieving the highest NOS score (9/9) [20]. Cottrell et al. (2021) is notable as the only unconfounded study reporting significantly longer USG dwell time (mean 96.1 vs. 59.4 hours; p&lt;0.001) using identical catheter types in both groups, though USG cases were disproportionately classified as difficult (75% vs. 36%) [21].</w:t>
      </w:r>
    </w:p>
    <w:p>
      <w:r>
        <w:t>Four cohort studies were identified as having major catheter-specification confounding (detailed in the section below): Dachepally et al. (2023) [22], Paladini et al. (2018) [23], Refosco et al. (2025) [24], and Desai et al. (2018) [14]. In all four, USG catheters were systematically longer or of different material than comparator catheters, rendering outcome differences unattributable to ultrasound guidance alone.</w:t>
      </w:r>
    </w:p>
    <w:p>
      <w:r>
        <w:rPr>
          <w:b/>
          <w:sz w:val="26"/>
        </w:rPr>
        <w:t>Risk of Bias</w:t>
      </w:r>
    </w:p>
    <w:p>
      <w:r>
        <w:t xml:space="preserve">Among the </w:t>
      </w:r>
      <w:r>
        <w:t>six</w:t>
      </w:r>
      <w:r>
        <w:t xml:space="preserve"> RCTs, </w:t>
      </w:r>
      <w:r>
        <w:t>five</w:t>
      </w:r>
      <w:r>
        <w:t xml:space="preserve"> were judged to have “some concerns” overall (Kleidon et al., 2025 [12]; Bridey et al., 2018 [16]; Varghese et al., 2025 [17]</w:t>
      </w:r>
      <w:r>
        <w:t>; Nishizawa et al., 2020 [15]; Avelar et al., 2015 [5]</w:t>
      </w:r>
      <w:r>
        <w:t>), primarily related to performance bias inherent in open-label designs where blinding of the operator is not feasible</w:t>
      </w:r>
      <w:r>
        <w:t>; for Avelar, complications in the USG arm were ascertained with ultrasound visualization whereas the landmark arm was assessed clinically, a differential outcome ascertainment that may bias the infiltration comparison</w:t>
      </w:r>
      <w:r>
        <w:t>. Leroux et al. (2023) was rated as high risk of bias due to substantial attrition and failure to reach the target sample size [18].</w:t>
      </w:r>
    </w:p>
    <w:p>
      <w:r>
        <w:t>Among the nine cohort studies, NOS scores ranged from 5 to 9 (Table 2). Shokoohi et al. (2019) achieved the maximum score of 9/9 [20]. Feinsmith et al. (2023) [19], Dachepally et al. (2023) [22], Paladini et al. (2018) [23], Cottrell et al. (2021) [21], and Refosco et al. (2025) [24] each scored 6/9, with points deducted primarily in the comparability domain (catheter type confounding for Dachepally, Paladini, and Refosco; difficulty-classification imbalance for Cottrell). Favot et al. (2019) [25], Saltarelli et al. (2015) [26], and Desai et al. (2018) [14] scored 5/9 (Table 2).</w:t>
      </w:r>
    </w:p>
    <w:p>
      <w:r>
        <w:rPr>
          <w:b/>
          <w:sz w:val="26"/>
        </w:rPr>
        <w:t>Meta-Analysis Results</w:t>
      </w:r>
    </w:p>
    <w:p>
      <w:r>
        <w:t>Primary Outcome: Catheter Failure</w:t>
      </w:r>
    </w:p>
    <w:p>
      <w:r>
        <w:t>Four studies reported catheter failure or premature removal as a dichotomous outcome and were eligible for pooling (Kleidon et al., 2025 [12]; Leroux et al., 2023 [18]; Shokoohi et al., 2019 [20]; Saltarelli et al., 2015 [26]. The pooled random-effects RR was 1.23 (95% CI 1.00–1.51; p = 0.056; I2 = 0%), indicating no statistically significant difference between USG and landmark groups (Figure 3). Although the lower bound rounds to 1.00 at two decimal places, the precise value (1.00) confirms that the confidence interval crossed unity. The point estimate favoured landmark insertion. In a post-hoc sensitivity analysis using the REML estimator and HKSJ confidence interval adjustment (not pre-specified in PROSPERO), the result was directionally consistent (RR 1.23, 95% CI 1.00–1.51; p = 0.047). The primary DL estimate (p = 0.056) and HKSJ sensitivity estimate (p = 0.047) both straddle the conventional α = 0.05 threshold, indicating that statistical significance is borderline and sensitive to estimator choice; clinical interpretation should therefore emphasize the point estimate and the overall pattern of evidence rather than significance alone. A fourth cohort study (Desai et al. 2018) [15] was eligible by outcome but excluded from primary pooling due to selection bias and catheter length confounding. Leave-one-out sensitivity analysis demonstrated that removing Kleidon et al. (2025), the only pediatric study in this pool, shifted the estimate to RR 1.28 (95% CI 1.02–1.60; p = 0.032), while removing Saltarelli et al. (2015) [26], the largest contributor at 49.8% random-effects weight, attenuated the estimate to RR 1.18 (95% CI 0.88–1.58; p = 0.28); the borderline catheter-failure result therefore depends substantially on the largest single study (see Supplementary Material S4: leave-one-out for catheter failure).</w:t>
      </w:r>
    </w:p>
    <w:p>
      <w:r>
        <w:t>A post-hoc design-stratified analysis showed that the catheter-failure signal arose primarily from the cohort studies (k = 2; RR 1.29, 95% CI 1.02–1.63; p = 0.036), whereas the RCT-only estimate was essentially flat (k = 2; RR 1.03, 95% CI 0.66–1.61; p = 0.88). The design-by-effect interaction test was non-significant (p = 0.37); with only 2 studies in each design tier this comparison is severely underpowered. This pattern suggests that the overall estimate is influenced more by the cohort studies than by the RCTs.</w:t>
      </w:r>
    </w:p>
    <w:p>
      <w:r>
        <w:t>Primary Outcome: Dwell Time</w:t>
      </w:r>
    </w:p>
    <w:p>
      <w:r>
        <w:t>Three studies reported dwell time in formats suitable for pooling (Kleidon et al., 2025; Leroux et al., 2023; Cottrell et al., 2021). However, pooling was precluded by substantial heterogeneity (I² = 91.9%; Figure 4). Kleidon et al. reported no difference (median 47.1 vs. 47.7 hours), Leroux et al. similarly found no difference (mean 23.5 vs. 24.7 hours; p = 0.808), while Cottrell et al. reported a significant 36.7-hour advantage favoring USG (mean 96.06 vs. 59.39 hours; p &lt; 0.001) (Figure 4). The conflicting results likely reflect differences in populations, operator expertise, and clinical context: Cottrell et al. studied a specialised vascular access team with extensive USG experience in a pediatric setting, where USG may confer particular advantages due to the unique challenges of pediatric venous access. Narrative synthesis of these three unconfounded studies suggests that any dwell time benefit of USG may be setting-dependent and operator-dependent rather than a generalisable effect of the guidance modality. Two additional studies reporting dwell time (Refosco 2025, Desai 2018) [14. 24] were excluded from this analysis due to catheter length confounding.</w:t>
      </w:r>
    </w:p>
    <w:p>
      <w:r>
        <w:t>Secondary Outcome: Infiltration</w:t>
      </w:r>
    </w:p>
    <w:p>
      <w:r>
        <w:t>Three</w:t>
      </w:r>
      <w:r>
        <w:t xml:space="preserve"> studies reported infiltration rates (Varghese et al., 2025 [17]; Saltarelli et al., 2015 [26]</w:t>
      </w:r>
      <w:r>
        <w:t>; Avelar et al., 2015 [5]</w:t>
      </w:r>
      <w:r>
        <w:t xml:space="preserve">). The pooled RR was </w:t>
      </w:r>
      <w:r>
        <w:t>1.30 (95% CI 0.82–2.05; p = 0.26; I² = 48.8%)</w:t>
      </w:r>
      <w:r>
        <w:t>, indicating no significant difference (Figure 5). Varghese et al. found a non-significant trend favoring USG (2.22% vs. 11.11%; p = 0.09) [17], while Saltarelli et al. reported a non-significant trend against USG (7.6% vs. 5.9%; OR 1.31, 95% CI 0.92–1.88) [26]</w:t>
      </w:r>
      <w:r>
        <w:t>; the newly included Avelar trial reported significantly higher infiltration with USG (34/161 [21.1%] vs. 23/178 [12.9%]; P = .025) [5], although complications in its USG arm were ascertained with ultrasound visualization, which may have increased detection</w:t>
      </w:r>
      <w:r>
        <w:t xml:space="preserve"> (Figure 5).</w:t>
      </w:r>
    </w:p>
    <w:p>
      <w:r>
        <w:t>Secondary Outcome: Extravasation</w:t>
      </w:r>
    </w:p>
    <w:p>
      <w:r>
        <w:t>Three studies reported extravasation events (Bridey et al. 2018, Favot et al. 2019, Nishizawa et al. 2020) [15, 16, 25]; however, the fundamental incompatibility of their populations and outcome definitions precludes any meaningful pooled inference, and individual study results are the primary informative unit. Bridey et al. found extravasation as a reason for catheter removal in 34% of USG versus 18% of landmark catheters (p = 0.094) in an adult ICU setting (Supplementary figure 1) [16]. Favot et al. reported contrast extravasation rates of 4.1% with USG versus 0.21% with standard PIVCs (RR 19.4, 95% CI 10.6–35.6), confined to a highly specific high-pressure CT contrast injection context (Supplementary figure 1) [25]. Nishizawa et al. reported a directionally opposite finding (13.6% vs 28.5%, p = 0.394) in a small ICU RCT (Supplementary figure 1) [15]. A formal meta-analytic pooling was performed for completeness and yielded an uninterpretable summary estimate (RR 2.75, 95% CI 0.29–26.28; I²=95.7%), confirming statistical incompatibility; this figure should not be read as a meaningful effect estimate (Supplementary Figure 1).</w:t>
      </w:r>
    </w:p>
    <w:p>
      <w:r>
        <w:t>Time-to-event-adjacent estimates (not pooled)</w:t>
      </w:r>
    </w:p>
    <w:p>
      <w:r>
        <w:t xml:space="preserve">Two studies reported effect estimates with a time-to-event component but using different statistical metrics, precluding meaningful meta-analytic pooling. Feinsmith et al. (2021) reported an adjusted hazard ratio (HR) of 0.91 (95% CI 0.87–0.95) favoring USG for catheter survival at 30 days, derived from a multivariable Cox proportional hazards model </w:t>
      </w:r>
      <w:r>
        <w:t>(Supplementary Figure 2)</w:t>
      </w:r>
      <w:r>
        <w:t xml:space="preserve">. Shokoohi et al. (2019) reported a premature removal risk ratio (RR) of 1.26 (95% CI 0.88–1.80) trending against USG at a fixed 72-hour follow-up window, a cumulative-incidence ratio rather than a hazard ratio </w:t>
      </w:r>
      <w:r>
        <w:t>(Supplementary Figure 2)</w:t>
      </w:r>
      <w:r>
        <w:t xml:space="preserve">. Because HR and fixed-window RR are conceptually different effect measures (the HR conditions on time-at-risk; the RR does not), an attempted pooling on the log-HR scale would mix incompatible quantities and risk producing a spuriously precise summary; we therefore present each study’s estimate individually without a pooled summary statistic. </w:t>
      </w:r>
      <w:r>
        <w:t>The divergent directions of the 30-day adjusted HR and the 72-hour cumulative-incidence RR most plausibly reflect their different time windows and effect metrics rather than a true difference in catheter performance; the corresponding forest plot has been relocated to Supplementary Figure 2 [19, 20].</w:t>
      </w:r>
    </w:p>
    <w:p>
      <w:r>
        <w:t>Subgroup and Sensitivity Analyses</w:t>
      </w:r>
    </w:p>
    <w:p>
      <w:r>
        <w:t>Adult vs. Pediatric Subgroup (Catheter Failure)</w:t>
      </w:r>
    </w:p>
    <w:p>
      <w:r>
        <w:t>Among adult studies (k = 3), the pooled RR was 1.28 (95% CI 1.02–1.60; p = 0.03), with the point estimate trending unfavourable to USG (Figure 7). Only one pediatric study (Kleidon et al., 2025) contributed to this outcome, with RR 0.95 suggesting no difference (Figure 7). The test for subgroup differences was not significant (p = 0.32), indicating that the observed adult-subgroup result should be interpreted as hypothesis-generating rather than confirmatory (Figure 7). (See “Primary Outcome: Catheter Failure” above for the post-hoc design-stratified analysis [RCT-only vs cohort-only] and the leave-one-out sensitivity analysis showing dependence on the largest cohort study.)</w:t>
      </w:r>
    </w:p>
    <w:p>
      <w:r>
        <w:t>Studies with Major Confounding</w:t>
      </w:r>
    </w:p>
    <w:p>
      <w:r>
        <w:t>Four studies were excluded from the primary pooled analyses due to systematic differences in catheter specifications between groups. Dachepally et al. (2023) reported dramatically longer dwell times for USG catheters (median 219 vs. 108 hours; HR 2.20, 95% CI 1.45–3.34) in a pediatric ICU setting, but USG catheters were exclusively 4.4 cm in length compared with 1.9–3.2 cm in the traditional group [22]. Paladini et al. (2018) reported significantly longer dwell times (9.2 +/- 6.0 vs. 3.2 +/- 2.1 days; p &lt; 0.0001) and fewer complications (25% vs. 70%; p = 0.003) with USG, but USG catheters were 8 cm polyurethane cannulas placed via Seldinger technique versus short Teflon catheters in the landmark group [23]. Refosco et al. (</w:t>
      </w:r>
      <w:r>
        <w:t>2025</w:t>
      </w:r>
      <w:r>
        <w:t>) reported longer dwell times (5.3 ± 4.0 vs. 2.5 ± 1.8 days; p &lt; 0.001) and fewer complications (34% vs. 70%; p &lt; 0.001) with USG in a pediatric ED, but USG cannulas were predominantly 64 mm long peripheral catheters compared with 19-32 mm short cannulas in the blind group [24]. Desai et al. (2018) similarly reported longer Kaplan-Meier median survival with USG (143 vs 89 hours, log-rank p&lt;0.001) in a pediatric ED, but USG patients disproportionately had a history of difficult access (55% vs 7.2%) and the authors acknowledged that the majority of USG catheters were longer than traditional catheters [14]. In all four studies, the observed benefits are more plausibly attributed to greater intravascular catheter length and catheter material, and in Desai, selection bias, rather than to ultrasound guidance per se. In a sensitivity analysis including all studies reporting dwell time (adding Refosco and Desai to the confounded set), heterogeneity remained extreme.</w:t>
      </w:r>
    </w:p>
    <w:p>
      <w:r>
        <w:rPr>
          <w:b/>
          <w:sz w:val="26"/>
        </w:rPr>
        <w:t>Discussion</w:t>
      </w:r>
    </w:p>
    <w:p>
      <w:r>
        <w:t>Interpretation of Main Findings</w:t>
      </w:r>
    </w:p>
    <w:p>
      <w:r>
        <w:rPr/>
        <w:t xml:space="preserve">This systematic review and meta-analysis is, to our knowledge, the first to specifically and comprehensively evaluate post-insertion outcomes of USG compared with landmark PIVC placement. Across </w:t>
      </w:r>
      <w:r>
        <w:rPr/>
        <w:t>15</w:t>
      </w:r>
      <w:r>
        <w:rPr/>
        <w:t xml:space="preserve"> studies enrolling </w:t>
      </w:r>
      <w:r>
        <w:rPr/>
        <w:t>78,591</w:t>
      </w:r>
      <w:r>
        <w:rPr/>
        <w:t xml:space="preserve"> participants, we found no statistically significant evidence that USG insertion improves catheter failure rates, dwell time, or other post-insertion complications. The pooled RR for catheter failure was 1.23 (95% CI 1.00–1.51; p = 0.056), a non-significant estimate with a point estimate above 1.0 (Figure 2). Dwell time results were heterogeneous and could not be pooled (I² = 91.9%) (Figure 3). These findings challenge the implicit assumption that the well-documented insertion benefits of USG translate into superior catheter performance after placement.</w:t>
      </w:r>
    </w:p>
    <w:p>
      <w:r>
        <w:t>The addition of Cottrell et al. (2021) introduced substantial heterogeneity into the dwell time analysis (I² = 91.9%) (</w:t>
      </w:r>
      <w:r>
        <w:t>Figure 4</w:t>
      </w:r>
      <w:r>
        <w:t>), preventing meta-analytic pooling. This study’s positive finding, a 36.7-hour dwell time advantage for USG, is notable because it used identical catheter types in both groups, thus controlling for the catheter length confounding present in other positive studies (</w:t>
      </w:r>
      <w:r>
        <w:t>Figure 4</w:t>
      </w:r>
      <w:r>
        <w:t>). Cottrell et al.’s findings should be interpreted within the appropriate clinical context, as patients in the ultrasound-guided group were more frequently classified as having difficult vascular access (75% vs. 36%) [21]. Additionally, the involvement of a specialised vascular access team may have contributed to improved catheter placement outcomes through expert vessel selection, rather than reflecting the isolated effect of ultrasound guidance itself.</w:t>
      </w:r>
    </w:p>
    <w:p>
      <w:r>
        <w:t>Our results must be interpreted against the broader context of USG PIVC literature. Prior systematic reviews and meta-analyses have consistently demonstrated that USG improves first-attempt success rates and reduces the number of skin punctures, particularly in DIVA populations [4, 6, 27]. These insertion benefits are clinically meaningful, as they reduce patient pain and procedural time. However, the post-insertion phase represents the majority of the catheter’s clinical lifecycle, and our findings did not detect a statistically significant post-insertion advantage for USG over landmark placement once the catheter is successfully sited (although our pre-specified analyses were not designed as a formal equivalence trial and we did not pre-define an equivalence margin). This distinction is important for clinical decision-making: USG should be valued for its ability to achieve venous access in difficult patients, but clinicians should not expect improved catheter longevity or reduced complication rates as a consequence of the guidance technique alone [7, 8].</w:t>
      </w:r>
    </w:p>
    <w:p>
      <w:r>
        <w:t>A critical finding of this review is the identification of catheter length and type as likely confounders in studies reporting favorable USG outcomes. Dachepally et al. (2023) [22], Paladini et al. (2018) [23], Refosco et al. (2025) [24], and Desai et al. (2018) [14] demonstrated markedly superior outcomes with USG, but in all these studies, USG catheters were substantially longer than those in the comparator group. The addition of Nishizawa et al. (2020) [15], an RCT in critically ill patients, supports the absence of meaningful post-insertion benefits even in a high-acuity DIVA population, while Desai et al. (2018) [14] once again illustrates how catheter length confounding can produce apparent dwell-time benefits that do not survive methodological scrutiny. This confounding makes it impossible to attribute the observed benefits to ultrasound guidance rather than to the greater intravascular catheter length, which has been independently associated with improved catheter survival [28, 29].</w:t>
      </w:r>
    </w:p>
    <w:p>
      <w:r>
        <w:t>An important question arising from this observation is whether USG inherently induces the use of longer catheters. By visualising deeper, non-palpable veins – typically the brachial, basilic, or deep forearm veins at depths of 1.0 to 2.0 cm – USG cannulation often necessitates longer catheters to ensure an adequate intravascular segment.7 When a standard 4.5 cm catheter is inserted into a vessel at 1.5 cm depth at a 45-degree angle, the resulting intravascular length may be as little as 1.5 to 2.0 cm, leaving a substantial portion of the catheter in subcutaneous tissue [29]. Pandurangadu et al. demonstrated that 100% of USG catheters failed when less than 30% of the catheter length resided within the vein [29].10 In this context, the superior outcomes observed in studies using longer catheters (4.4 cm in Dachepally et al. [22]; 8 cm in Paladini et al. [23] may reflect the physical requirement of matching catheter length to vessel depth rather than an independent benefit of ultrasound guidance per se. This distinction has profound clinical implications: the benefit may not lie in “seeing the vein” during insertion, but rather in selecting an appropriately long catheter for the depth of the target vessel. The catheter-to-vein ratio, which van Loon et al. identified as a critical determinant of cannulation success with an optimal cut-off of approximately 0.41, may be equally important for post-insertion catheter survival [6]. Future studies must therefore control for catheter specifications, including length, gauge, and material, to isolate the independent effect of the ultrasound guidance modality from the confounding effect of catheter selection.</w:t>
      </w:r>
    </w:p>
    <w:p>
      <w:r>
        <w:t>Extravasation as a Potential Safety Signal</w:t>
      </w:r>
    </w:p>
    <w:p>
      <w:r>
        <w:t>An exploratory extravasation signal emerges from three studies that warrants acknowledgment, while noting that the certainty of this evidence is very low (GRADE ⊕◯◯◯). Bridey et al. (2018) [16] and Favot et al. (2019) [25] reported numerically higher extravasation rates with USG, though the magnitude differed dramatically (RR 1.92 vs. 19.4); Nishizawa et al. (2020) [15] reported a directionally opposite finding (13.6% vs. 28.5%). The extreme between-study heterogeneity (I2 = 95.7%) precluded meta-analytic pooling, and the directional inconsistency together with heterogeneity of outcome definitions means the extravasation data are best interpreted as hypothesis-generating, requiring confirmation in adequately powered prospective studies before clinical inferences can be drawn.</w:t>
      </w:r>
    </w:p>
    <w:p>
      <w:r>
        <w:t>The underlying biomechanics offer a plausible explanation. USG enables cannulation of deeper, non-palpable veins, typically at depths of 1.0 to 2.0 cm below the skin surface [7]. When standard-length catheters (4.5 cm) are used at these depths, the angle of insertion required to reach the vessel results in a shorter intravascular catheter segment. Fields et al. demonstrated that vessel depth is inversely associated with USG catheter longevity, with deeper insertions at greater risk of failure [7]. The short intravascular segment is susceptible to catheter tip migration with patient movement, particularly at flexion points such as the antecubital fossa. When the catheter tip migrates outside the vessel lumen, any infusate, but especially high-pressure contrast injections, can extravasate into the perivascular tissue.</w:t>
      </w:r>
    </w:p>
    <w:p>
      <w:r>
        <w:t>The dramatically elevated Favot et al [25]. RR (19.4) for contrast extravasation likely reflects standard-length catheter vulnerability compounded by high-pressure injection during CT contrast administration; Bridey et al [16]. observed a more modest but still concerning trend (34% vs 18%, p = 0.094) in an ICU setting where USG catheters were also larger gauge (18G vs 21G, p = 0.059), which may have contributed independently to vessel wall trauma.</w:t>
      </w:r>
    </w:p>
    <w:p>
      <w:r>
        <w:t>If this directionally inconsistent extravasation pattern is confirmed in adequately powered prospective studies, clinical practice may need to consider using appropriately longer catheters (e.g., 4.78 cm or longer) when USG is used to access deep veins, and particular caution may be warranted before using USG-placed standard-length PIVCs for high-pressure contrast injection. We frame this only as a hypothesis for prospective evaluation; the current evidence is too inconsistent to support a confirmed safety signal.</w:t>
      </w:r>
    </w:p>
    <w:p>
      <w:r>
        <w:t>The subgroup analysis by age group generated a hypothesis worth noting in the context of future research. Among adult studies (k = 3), the pooled RR was 1.28 (95% CI 1.02–1.60; p = 0.03) (</w:t>
      </w:r>
      <w:r>
        <w:t>Figure 6</w:t>
      </w:r>
      <w:r>
        <w:t>), with the point estimate trending unfavorably for USG. A biomechanically plausible explanation exists: USG targets deeper veins that may be more prone to catheter tip migration with standard-length catheters. In contrast, the single pediatric study (Kleidon et al., 2025) [</w:t>
      </w:r>
      <w:r>
        <w:t>12</w:t>
      </w:r>
      <w:r>
        <w:t>] showed no difference (RR 0.95). However, the subgroup interaction test was not significant (p = 0.32), the adult subgroup includes a conference abstract (Saltarelli et al., 2015) [26] with limited methodological detail, and overall GRADE certainty is low. This result should therefore be characterized as an exploratory signal requiring confirmation in adequately powered prospective studies, rather than as evidence of harm.</w:t>
      </w:r>
    </w:p>
    <w:p>
      <w:r>
        <w:t>As reported above (Results, Catheter Failure), the post-hoc design-stratified analysis showed that the borderline overall failure signal arose from the cohort studies (RR 1.29, 95% CI 1.02–1.63) while the RCT-only estimate was flat (RR 1.03, 95% CI 0.66–1.61). The Feinsmith et al. (2021) study [19], while the largest cohort by sample size, is inherently subject to selection bias: patients who receive USG PIVCs are those who have already failed landmark attempts, representing a population with intrinsically more difficult venous access and potentially different catheter outcomes, illustrating one source of the divergence between cohort-driven and RCT-driven estimates.</w:t>
      </w:r>
    </w:p>
    <w:p>
      <w:r>
        <w:rPr>
          <w:b/>
          <w:sz w:val="26"/>
        </w:rPr>
        <w:t>Study Limitations</w:t>
      </w:r>
    </w:p>
    <w:p>
      <w:r>
        <w:rPr/>
        <w:t xml:space="preserve">This review has several important limitations. First, the evidence base is small and heterogeneous, comprising only </w:t>
      </w:r>
      <w:r>
        <w:rPr/>
        <w:t>six</w:t>
      </w:r>
      <w:r>
        <w:rPr/>
        <w:t xml:space="preserve"> RCTs and nine cohort studies with varied populations, settings, outcome definitions, and follow-up durations. Second, inter-rater agreement for title/abstract screening was fair (Cohen’s kappa = 0.330; percent agreement 95.8%), reflecting the κ paradox under high exclusion prevalence11 rather than substantive disagreement. The 57 single-reviewer-include records were adjudicated by the primary reviewer in a pre-specified second-pass review against the PROSPERO PICO, with documented categorical exclusion reasons. Selection-bias risk was mitigated by cross-referencing against three prior USG-PIVC systematic reviews 4-6 (no eligible studies missed) and an audit trail of all second-pass decisions. Third, four studies had major confounding by catheter type or selection, necessitating their exclusion from pooled analyses. Fourth, Saltarelli et al. (2015) [26] was available only as a conference abstract with limited methodological detail. Fifth, Varghese et al. (2025) [17] employed only a two-hour follow-up, which is insufficient to capture most post-insertion complications. Sixth, Leroux et al. (2023) was substantially underpowered due to COVID-19-related recruitment challenges. Seventh, formal assessment of publication bias was not possible because fewer than 10 studies contributed to any single meta-analysis. </w:t>
      </w:r>
      <w:r>
        <w:rPr/>
        <w:t>Eighth, the search covered four databases (PubMed, Embase, Cochrane CENTRAL, CINAHL) but did not include Scopus or Web of Science; although three prior systematic reviews were cross-referenced and the reference lists of included studies were hand-searched without identifying additional eligible records, studies uniquely indexed in those databases may have been missed. Ninth, in the newly included Avelar trial, post-insertion complications in the ultrasound arm were ascertained with ultrasound visualization while the landmark arm was assessed clinically, a differential ascertainment that may inflate the infiltration signal.</w:t>
      </w:r>
      <w:r>
        <w:rPr/>
        <w:t xml:space="preserve"> Finally, the overall certainty of evidence as assessed by the GRADE framework ranged from low to very low across all outcomes [30], reflecting the predominance of observational studies, serious imprecision, and the limitations of the available RCTs.</w:t>
      </w:r>
    </w:p>
    <w:p>
      <w:r>
        <w:rPr>
          <w:b/>
          <w:sz w:val="26"/>
        </w:rPr>
        <w:t>Clinical Implications</w:t>
      </w:r>
    </w:p>
    <w:p>
      <w:r>
        <w:t xml:space="preserve">Clinicians should continue to value USG as a highly useful insertion aid, particularly in patients with difficult intravenous access. However, current evidence does not justify assuming that USG alone improves catheter longevity or reduces post-insertion complications. If post-insertion performance is a clinical priority, attention should focus on catheter selection, including length, gauge, material, and the depth of the target vein, rather than on guidance modality alone. </w:t>
      </w:r>
    </w:p>
    <w:p>
      <w:r>
        <w:t>Overall, the current literature more strongly supports the insertion-phase advantage of USG than any consistent post-insertion advantage. The most plausible interpretation of the available evidence is that post-insertion outcomes are shaped at least as much by catheter specification and study context as by ultrasound guidance itself. Future adequately powered trials that standardize catheter type across groups are needed before the independent post-insertion effect of USG can be determined.</w:t>
      </w:r>
    </w:p>
    <w:p>
      <w:r>
        <w:rPr>
          <w:b/>
          <w:sz w:val="26"/>
        </w:rPr>
        <w:t>Conclusion</w:t>
      </w:r>
    </w:p>
    <w:p>
      <w:r>
        <w:t xml:space="preserve">This systematic review and meta-analysis of </w:t>
      </w:r>
      <w:r>
        <w:t>15</w:t>
      </w:r>
      <w:r>
        <w:t xml:space="preserve"> studies did not demonstrate a consistent post-insertion advantage of ultrasound-guided over landmark-guided PIVC placement across catheter failure, dwell time, infiltration, or extravasation; the current evidence base is too small and heterogeneous to support either firm benefit or firm equivalence claims, and a clinically meaningful effect in either direction cannot be excluded. The pooled catheter failure rate was not significantly different between groups (RR 1.23, 95% CI 0.99–1.51; p = 0.056). Dwell time results were heterogeneous (I² = 91.9%) and could not be pooled, with one study showing significant benefit and two showing no difference. In adult patients specifically, the pooled RR for catheter failure trended unfavorably for USG (RR 1.28, 95% CI 1.02–1.60; p = 0.03), though the subgroup interaction test was non-significant (p = 0.32) and this result is best considered hypothesis-generating given the small number of studies and low certainty of evidence. Extravasation data from two studies (Bridey et al., Favot et al.) were directionally consistent in suggesting a potential signal associated with USG-placed PIVCs, though this was not confirmed by a third study (Nishizawa et al.) and certainty is very low; prospective studies are needed before clinical conclusions can be drawn. Studies reporting strongly favorable USG results were confounded by systematic differences in catheter length and type, highlighting that catheter selection, not the guidance modality, may be the primary determinant of post-insertion catheter performance. The current evidence more strongly supports the insertion-phase advantage of USG (well established in prior systematic reviews) than any consistent post-insertion advantage. Future adequately powered RCTs that control for catheter length, gauge, and material are essential to provide definitive evidence.</w:t>
      </w:r>
    </w:p>
    <w:p>
      <w:r>
        <w:t>PROSPERO Registration: CRD420261354170</w:t>
      </w:r>
    </w:p>
    <w:p>
      <w:r>
        <w:rPr>
          <w:b/>
          <w:sz w:val="26"/>
        </w:rPr>
        <w:t>Funding: None.</w:t>
      </w:r>
    </w:p>
    <w:p>
      <w:r>
        <w:t>Conflicts of interest: None declared.</w:t>
      </w:r>
    </w:p>
    <w:p>
      <w:r>
        <w:t>Use of Artificial Intelligence: AI assistants (ChatGPT, Gemini) were used for language editing and to cross-check statistical reasoning during manuscript preparation. AI was not used to generate primary scientific content, draft conclusions, or interpret clinical findings. All authors reviewed and verified all content and take full responsibility for accuracy and integrity. No AI tool is listed as an author. A detailed AI use disclosure (ICMJE 2024 compliant) is provided in the cover letter.</w:t>
      </w:r>
    </w:p>
    <w:p>
      <w:r>
        <w:rPr>
          <w:b/>
          <w:sz w:val="26"/>
        </w:rPr>
        <w:t>References</w:t>
      </w:r>
    </w:p>
    <w:p>
      <w:r>
        <w:t>1.</w:t>
        <w:tab/>
        <w:t>Alexandrou E, Ray-Barruel G, Carr PJ, Frost SA, Inwood S, Higgins N, et al. Use of Short Peripheral Intravenous Catheters: Characteristics, Management, and Outcomes Worldwide. J Hosp Med. 2018;13(5).</w:t>
      </w:r>
    </w:p>
    <w:p>
      <w:r>
        <w:t>2.</w:t>
        <w:tab/>
        <w:t>O'Grady NP, Alexander M, Burns LA, Dellinger EP, Garland J, Heard SO, et al. Guidelines for the prevention of intravascular catheter-related infections. Am J Infect Control. 2011;39(4 Suppl 1):S1-34.</w:t>
      </w:r>
    </w:p>
    <w:p>
      <w:r>
        <w:t>3.</w:t>
        <w:tab/>
        <w:t>Nickel B, Gorski L, Kleidon T, Kyes A, DeVries M, Keogh S, et al. Infusion Therapy Standards of Practice, 9th Edition. J Infus Nurs. 2024;47(1S Suppl 1):S1-S285.</w:t>
      </w:r>
    </w:p>
    <w:p>
      <w:r>
        <w:t>4.</w:t>
        <w:tab/>
        <w:t>Egan G, Healy D, O'Neill H, Clarke-Moloney M, Grace PA, Walsh SR. Ultrasound guidance for difficult peripheral venous access: systematic review and meta-analysis. Emerg Med J. 2013;30(7):521-6.</w:t>
      </w:r>
    </w:p>
    <w:p>
      <w:r>
        <w:t>5.</w:t>
        <w:tab/>
        <w:t>Avelar AF, Peterlini MA, da Luz Goncalves Pedreira M. Ultrasonography-Guided Peripheral Intravenous Access in Children: A Randomized Controlled Trial. J Infus Nurs. 2015;38(5):320-7.</w:t>
      </w:r>
    </w:p>
    <w:p>
      <w:r>
        <w:t>6.</w:t>
        <w:tab/>
        <w:t>van Loon FHJ, Buise MP, Claassen JJF, Dierick-van Daele ATM, Bouwman ARA. Comparison of ultrasound guidance with palpation and direct visualization for peripheral vein cannulation in adult patients: a systematic review and meta-analysis. Br J Anaesth. 2018;121(2):358-66.</w:t>
      </w:r>
    </w:p>
    <w:p>
      <w:r>
        <w:t>7.</w:t>
        <w:tab/>
        <w:t>Fields JM, Dean AJ, Todman RW, Au AK, Anderson KL, Ku BS, et al. The effect of vessel depth, diameter, and location on ultrasound-guided peripheral intravenous catheter longevity. Am J Emerg Med. 2012;30(7):1134-40.</w:t>
      </w:r>
    </w:p>
    <w:p>
      <w:r>
        <w:t>8.</w:t>
        <w:tab/>
        <w:t>Elia F, Ferrari G, Molino P, Converso M, De Filippi G, Milan A, et al. Standard-length catheters vs long catheters in ultrasound-guided peripheral vein cannulation. Am J Emerg Med. 2012;30(5):712-6.</w:t>
      </w:r>
    </w:p>
    <w:p>
      <w:r>
        <w:t>9.</w:t>
        <w:tab/>
        <w:t>Malik A, Dewald O, Gallien J, Favot M, Kasten A, Reed B, et al. Outcomes of Ultrasound Guided Peripheral Intravenous Catheters Placed in the Emergency Department and Factors Associated with Survival. Open Access Emerg Med. 2023;15:177-87.</w:t>
      </w:r>
    </w:p>
    <w:p>
      <w:r>
        <w:t>10.</w:t>
        <w:tab/>
        <w:t>Avelar AF, Peterlini MA, da Pedreira ML. [Assertiveness and peripheral intravenous catheters dwell time with ultrasonography-guided insertion in children and adolescents]. Rev Esc Enferm USP. 2013;47(3):539-46.</w:t>
      </w:r>
    </w:p>
    <w:p>
      <w:r>
        <w:t>11.</w:t>
        <w:tab/>
        <w:t>Kleidon TM, Schults J, Paterson R, Rickard CM, Ullman AJ. Comparison of ultrasound-guided peripheral intravenous catheter insertion with landmark technique in pediatric patients: A systematic review and meta-analysis. J Paediatr Child Health. 2022;58(6):953-61.</w:t>
      </w:r>
    </w:p>
    <w:p>
      <w:r>
        <w:t>12.</w:t>
        <w:tab/>
        <w:t>Kleidon TM, Schults JA, Royle RH, Gibson V, Ware RS, Andresen E, et al. First-Attempt Success in Ultrasound-Guided vs Standard Peripheral Intravenous Catheter Insertion: The EPIC Superiority Randomized Clinical Trial. JAMA Pediatr. 2025;179(3):255-63.</w:t>
      </w:r>
    </w:p>
    <w:p>
      <w:r>
        <w:t>13.</w:t>
        <w:tab/>
        <w:t>Kleidon TM, Schults J, Rickard C, Ullman AJ. Ultrasound-guided PIVC insertion: a randomized controlled trial protocol. Br J Nurs. 2023;32(14):S22-S8.</w:t>
      </w:r>
    </w:p>
    <w:p>
      <w:r>
        <w:t>14.</w:t>
        <w:tab/>
        <w:t>Desai K, Vinograd AM, Abbadessa MKF, Chen AE. Longevity and Complication Rates of Ultrasound Guided Versus Traditional Peripheral Intravenous Catheters in a Pediatric Emergency Department. J Assoc Vasc Access. 2018;23(3):149-154.</w:t>
      </w:r>
    </w:p>
    <w:p>
      <w:r>
        <w:t>15.</w:t>
        <w:tab/>
        <w:t>Nishizawa T, Matsumoto T, Todaka T, Sasano M, Kitagawa H, Shimabuku A. Nurse-Performed Ultrasound-Guided Technique for Difficult Peripheral Intravenous Access in Critically Ill Patients: A Randomized Controlled Trial. J Assoc Vasc Access. 2020;25(2):34-39.</w:t>
      </w:r>
    </w:p>
    <w:p>
      <w:r>
        <w:t>16.</w:t>
        <w:tab/>
        <w:t>Bridey C, Thilly N, Lefevre T, Maire-Richard A, Morel M, Levy B, et al. Ultrasound-guided versus landmark approach for peripheral intravenous access by critical care nurses: a randomized controlled study. BMJ Open. 2018;8(6):e020220.</w:t>
      </w:r>
    </w:p>
    <w:p>
      <w:r>
        <w:t>17.</w:t>
        <w:tab/>
        <w:t>Varghese S, Ranjit T. Ultrasound-Guided vs Landmark Peripheral IV Cannulation in the Pediatric ED: A Randomized Controlled Trial. Int J Med Public Health. 2025;15(4):1880-1885.</w:t>
      </w:r>
    </w:p>
    <w:p>
      <w:r>
        <w:t>18.</w:t>
        <w:tab/>
        <w:t>Leroux S, Deaner T, Wasser T, Huey C, Carr B, Howard A, et al. The Impact of Peripheral Intravenous Catheter Insertion Technique and Catheter-to-Vein Ratio on Postinsertion Failure. J Emerg Med. 2023;64(5):564-73.</w:t>
      </w:r>
    </w:p>
    <w:p>
      <w:r>
        <w:t>19.</w:t>
        <w:tab/>
        <w:t>Feinsmith SE, Amick AE, Feinglass JM, Sell J, Davis EM, Spencer TR, et al. Performance of peripheral catheters inserted with ultrasound guidance versus landmark technique after a simulation-based mastery learning intervention. J Vasc Access. 2023;24(4):630-8.</w:t>
      </w:r>
    </w:p>
    <w:p>
      <w:r>
        <w:t>20.</w:t>
        <w:tab/>
        <w:t>Shokoohi H, Boniface KS, Kulie P, Long A, McCarthy M. The Utility and Survivorship of Peripheral Intravenous Catheters Inserted in the Emergency Department. Ann Emerg Med. 2019;74(3):381-90.</w:t>
      </w:r>
    </w:p>
    <w:p>
      <w:r>
        <w:t>21.</w:t>
        <w:tab/>
        <w:t>Cottrell JT, Chang T, Baird J, Barreras J, Elkhunovich MA. Ultrasound-guided placement of peripherally inserted intravenous catheters increase catheter dwell time in children. J Vasc Access. 2021;22(2):189-93.</w:t>
      </w:r>
    </w:p>
    <w:p>
      <w:r>
        <w:t>22.</w:t>
        <w:tab/>
        <w:t>Dachepally R, Garcia AD, Liu W, Flechler C, Hanna WJ. Assessing the utility of ultrasound-guided vascular access placement with longer catheters in critically ill pediatric patients. Paediatr Anaesth. 2023;33(6):460-5.</w:t>
      </w:r>
    </w:p>
    <w:p>
      <w:r>
        <w:t>23.</w:t>
        <w:tab/>
        <w:t>Paladini A, Chiaretti A, Sellasie KW, Pittiruti M, Vento G. Ultrasound-guided placement of long peripheral cannulas in children over the age of 10 years admitted to the emergency department: a pilot study. BMJ Paediatr Open. 2018;2(1):e000244.</w:t>
      </w:r>
    </w:p>
    <w:p>
      <w:r>
        <w:t>24.</w:t>
        <w:tab/>
        <w:t>Refosco M, Mazza A, Divisic A, Binotto D, Zamberlan S, Schiavon B, et al. Comparison of peripheral cannula outcomes, ultrasound-guided placement of deep veins versus blind insertion of superficial veins in children aged 0-18 years: A retrospective study. J Vasc Access. 2025;26(5):1476-81.</w:t>
      </w:r>
    </w:p>
    <w:p>
      <w:r>
        <w:t>25.</w:t>
        <w:tab/>
        <w:t>Favot M, Gallien J, Malik A, Kasten A, Wells R, Ehrman R. Contrast Extravasation as a Complication of Emergency Nurse-Performed Ultrasound-Guided Peripheral Intravenous Catheter Placement. J Emerg Nurs. 2019;45(5):512-6.</w:t>
      </w:r>
    </w:p>
    <w:p>
      <w:r>
        <w:t>26.</w:t>
        <w:tab/>
        <w:t>Saltarelli NA, VanHouten J, Boyd J, Rupp J, Ferre RM. Infiltration Rates Are Similar in Ultrasound-Guided and Traditionally Placed Peripheral IVs in Admitted Emergency Department Patients With Difficult IV Access. Ann Emerg Med. 2015;66(4 Suppl):S137.</w:t>
      </w:r>
    </w:p>
    <w:p>
      <w:r>
        <w:t>27.</w:t>
        <w:tab/>
        <w:t>Stolz LA, Stolz U, Howe C, Farrell IJ, Adhikari S. Ultrasound-guided peripheral venous access: a meta-analysis and systematic review. J Vasc Access. 2015;16(4):321-6.</w:t>
      </w:r>
    </w:p>
    <w:p>
      <w:r>
        <w:t>28.</w:t>
        <w:tab/>
        <w:t>van Loon FHJ, Korsten HHM, Dierick-van Daele ATM, Bouwman ARA. The impact of the catheter to vein ratio on peripheral intravenous cannulation success, a post-hoc analyses. PLoS One. 2021;16(5):e0252166.</w:t>
      </w:r>
    </w:p>
    <w:p>
      <w:r>
        <w:t>29.</w:t>
        <w:tab/>
        <w:t>Pandurangadu AV, Tucker J, Brackney AR, Bahl A. Ultrasound-guided intravenous catheter survival impacted by amount of catheter residing in the vein. Emerg Med J. 2018;35(9):550-5.</w:t>
      </w:r>
    </w:p>
    <w:p>
      <w:r>
        <w:t>30.</w:t>
        <w:tab/>
        <w:t>Guyatt GH, Oxman AD, Vist GE, Kunz R, Falck-Ytter Y, Alonso-Coello P, et al. GRADE: an emerging consensus on rating quality of evidence and strength of recommendations. BMJ. 2008;336(7650):924-6.</w:t>
      </w:r>
    </w:p>
    <w:p>
      <w:r>
        <w:t>31.</w:t>
        <w:tab/>
        <w:t>Balduzzi S, Rücker G, Schwarzer G. How to perform a meta-analysis with R: a practical tutorial. Evid Based Ment Health. 2019;22(4):153-160.</w:t>
      </w:r>
    </w:p>
    <w:p>
      <w:r>
        <w:t>32.</w:t>
        <w:tab/>
        <w:t>Viechtbauer W. Conducting meta-analyses in R with the metafor package. J Stat Softw. 2010;36(3):1-48.</w:t>
      </w:r>
    </w:p>
    <w:p>
      <w:r>
        <w:rPr>
          <w:b/>
          <w:sz w:val="26"/>
        </w:rPr>
        <w:t>Figure legends</w:t>
      </w:r>
    </w:p>
    <w:p>
      <w:r>
        <w:t xml:space="preserve">Figure 1. Risk-of-bias and methodological-quality summary across all </w:t>
      </w:r>
      <w:r>
        <w:t>15</w:t>
      </w:r>
      <w:r>
        <w:t xml:space="preserve"> included studies (Based on Cochrane RoB 2 for </w:t>
      </w:r>
      <w:r>
        <w:t>6</w:t>
      </w:r>
      <w:r>
        <w:t xml:space="preserve"> RCTs and Newcastle-Ottawa Scale for 9 cohort studies; see Table 2 for details) (A) Cochrane RoB 2 traffic-light plot (RCTs, n = </w:t>
      </w:r>
      <w:r>
        <w:t>6</w:t>
      </w:r>
      <w:r>
        <w:t xml:space="preserve">). Uses traffic-light colors (green/yellow/red) to display the risk-of-bias judgments across domains for each of the </w:t>
      </w:r>
      <w:r>
        <w:t>6</w:t>
      </w:r>
      <w:r>
        <w:t xml:space="preserve"> RCTs. (B) Newcastle-Ottawa Scale (cohort studies, n = 9). For each of the 9 cohort studies, stars are shown per NOS domain (Selection /4, Comparability /2, Outcome /3); colors indicate the derived risk band. (C) Overall risk distribution by assessment tool. Summarizes the results from both tools, showing the number or proportion of studies rated as low, some concerns, and high risk of bias overall. </w:t>
      </w:r>
    </w:p>
    <w:p>
      <w:r>
        <w:t xml:space="preserve">Figure 2. PRISMA 2020 Flow Diagram. </w:t>
      </w:r>
    </w:p>
    <w:p>
      <w:r>
        <w:t>Figure 3. Forest plot: catheter failure or premature removal, USG vs landmark PIVCs (k = 4: 2 RCTs + 2 cohort studies). Random-effects (DerSimonian-Laird) pooled estimate shown; the borderline signal (RR 1.23, 95% CI 1.00–1.51, p = 0.056) is driven primarily by the cohort component (see Results, Catheter Failure). PIVC type and intravascular catheter-segment length are reported in Table 1 where available; standard short PIVCs predominate in the four pooled studies.</w:t>
      </w:r>
    </w:p>
    <w:p>
      <w:r>
        <w:t>Figure 4. Forest plot: catheter dwell time (USG vs landmark), continuous outcome (k = 3: 2 RCTs + 1 cohort). The pooled diamond is intentionally suppressed under the pre-specified I² &gt; 75% rule (I² = 91.9%); only individual study estimates are shown. Cottrell 2021 used identical catheter types in both groups but disproportionately classified USG cases as difficult; the other two unconfounded studies (Kleidon 2025; Leroux 2023) used standard short PIVCs and showed no dwell-time difference. Studies in which the USG arm received systematically longer catheters than the landmark arm (Refosco 2024; Desai 2018; Dachepally 2023; Paladini 2018) are reported in “Studies with major confounding” rather than in this forest plot.</w:t>
      </w:r>
    </w:p>
    <w:p>
      <w:r>
        <w:t xml:space="preserve">Figure 5. Forest plot: infiltration (USG vs landmark), </w:t>
      </w:r>
      <w:r>
        <w:t>k = 3 (2 RCTs + 1 cohort, all standard-PIVC). Random-effects pooled RR 1.30 (0.82–2.05; I² = 48.8%); the newly added Avelar 2015 trial reported higher infiltration with USG.</w:t>
      </w:r>
    </w:p>
    <w:p>
      <w:r>
        <w:t>Supplementary Figure 2</w:t>
      </w:r>
      <w:r>
        <w:t>. Individual study estimates (NOT pooled) for catheter survival / premature removal: Feinsmith 2021 (adjusted HR from multivariable Cox model, 30-day follow-up) and Shokoohi 2019 (cumulative-incidence RR at fixed 72-hour follow-up). The pooled diamond is intentionally suppressed because HR and cumulative-incidence RR are conceptually different effect measures and pooling them on the log-HR scale would mix incompatible quantities.</w:t>
      </w:r>
    </w:p>
    <w:p>
      <w:r>
        <w:t>Figure 6</w:t>
      </w:r>
      <w:r>
        <w:t>. Forest plot: catheter failure subgroup by age (adult vs pediatric, k = 4 same as Figure 2). The adult subgroup contains 2 cohorts + 1 conference abstract (Saltarelli 2015 dominates the adult weight); the pediatric subgroup contains a single RCT (Kleidon 2025). Subgroup-by-effect interaction not statistically significant (p = 0.32) and severely underpowered.</w:t>
      </w:r>
    </w:p>
    <w:p>
      <w:r>
        <w:t>Supplementary Figure 1. Forest plot: extravasation (USG vs landmark), not pooled (I² = 95.7%; Bridey 2018, Favot 2019, Nishizawa 2020). Presented as a supplementary figure because the populations and outcome definitions are statistically incompatible.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