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808080"/>
        </w:rPr>
        <w:t>MARKED-UP REVISION — changes vs the 13-May-2026 submitted version are shown in red. Pervasive British-&gt;American spelling changes are applied throughout and not individually highlighted. References are EndNote-managed in the authors' master; bracketed numbers mirror the submitted numbering.</w:t>
      </w:r>
    </w:p>
    <w:p>
      <w:r>
        <w:t>Post-insertion outcomes of ultrasound-guided versus landmark peripheral intravenous catheters: a systematic review and meta-analysis</w:t>
      </w:r>
    </w:p>
    <w:p>
      <w:r>
        <w:t>Tai-An Lee, MD1,†, Yu-Ling Wang2,†, Jen-Tao Lin3, Po-Ming Chen4, 5, Chia-Ching Chen1, 6*</w:t>
      </w:r>
    </w:p>
    <w:p>
      <w:r>
        <w:t>1 Department of Emergency Medicine, Chang Bing Show Chwan Memorial Hospital</w:t>
      </w:r>
    </w:p>
    <w:p>
      <w:r>
        <w:t>2 Department of Gastroenterology, Chang Bing Show Chwan Memorial Hospital</w:t>
      </w:r>
    </w:p>
    <w:p>
      <w:r>
        <w:t>3Department of Surgery, Show Chwan Memorial Hospital, Changhua, Taiwan, R.O.C.</w:t>
      </w:r>
    </w:p>
    <w:p>
      <w:r>
        <w:t xml:space="preserve">4Research Assistant Center, Show Chwan Memorial Hospital, Changhua, Taiwan </w:t>
      </w:r>
    </w:p>
    <w:p>
      <w:r>
        <w:t>5Department of Nursing, Central Taiwan University of Science and Technology, Taichung, Taiwan</w:t>
      </w:r>
    </w:p>
    <w:p>
      <w:r>
        <w:t>6 Institute for Research into Cancer of the Digestive System (IRCAD) - Taiwan and Asian Institute of TeleSurgery, Show Chwan Health Care System, Changhua, Taiwan</w:t>
      </w:r>
    </w:p>
    <w:p>
      <w:r>
        <w:t>Running title: Ultrasound vs Landmark PIVC Outcomes</w:t>
      </w:r>
    </w:p>
    <w:p>
      <w:r>
        <w:t>Corresponding Author: Chia-Ching Chen</w:t>
      </w:r>
    </w:p>
    <w:p>
      <w:r>
        <w:t>Department of Emergency Medicine, Chang Bing Show Chwan Memorial Hospital, No. 6 Lugong Road. Lukang Zhen, Changhua County, Taiwan, ROC</w:t>
      </w:r>
    </w:p>
    <w:p>
      <w:r>
        <w:t>Tel: +886-4-7813888 ext:71299</w:t>
      </w:r>
    </w:p>
    <w:p>
      <w:r>
        <w:t>E-mail: medlife.c11g@gmail.com</w:t>
      </w:r>
    </w:p>
    <w:p>
      <w:r>
        <w:t>†These authors contributed equally to this work</w:t>
      </w:r>
    </w:p>
    <w:p>
      <w:r>
        <w:rPr>
          <w:b/>
          <w:sz w:val="26"/>
        </w:rPr>
        <w:t>Abstract</w:t>
      </w:r>
    </w:p>
    <w:p>
      <w:r>
        <w:t>Background: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r>
        <w:t>Methods: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r>
        <w:t xml:space="preserve">Results: </w:t>
      </w:r>
      <w:r>
        <w:rPr>
          <w:color w:val="C00000"/>
        </w:rPr>
        <w:t>Fifteen</w:t>
      </w:r>
      <w:r>
        <w:t xml:space="preserve"> studies (</w:t>
      </w:r>
      <w:r>
        <w:rPr>
          <w:color w:val="C00000"/>
        </w:rPr>
        <w:t>6</w:t>
      </w:r>
      <w:r>
        <w:t xml:space="preserve"> randomized trials, 9 cohort studies; </w:t>
      </w:r>
      <w:r>
        <w:rPr>
          <w:color w:val="C00000"/>
        </w:rPr>
        <w:t>78,591</w:t>
      </w:r>
      <w:r>
        <w:t xml:space="preserve"> participants) were included </w:t>
      </w:r>
      <w:r>
        <w:rPr>
          <w:color w:val="C00000"/>
        </w:rPr>
        <w:t>in the qualitative synthesis</w:t>
      </w:r>
      <w:r>
        <w:t>. Catheter failure did not differ significantly between USG and landmark groups (k = 4; RR 1.23, 95% CI 0.99–1.51; p = 0.056), although the estimate was sensitive to model choice and to exclusion of the largest contributing study. Dwell time and extravasation were not pooled because of substantial heterogeneity (I² = 91.9% and 95.7%, respectively). Infiltration did not differ significantly (</w:t>
      </w:r>
      <w:r>
        <w:rPr>
          <w:color w:val="C00000"/>
        </w:rPr>
        <w:t>k = 3; RR 1.30, 95% CI 0.82–2.05</w:t>
      </w:r>
      <w:r>
        <w:t>). Several studies reporting favorable USG results were substantially confounded by systematic differences in catheter length or material between groups.</w:t>
      </w:r>
    </w:p>
    <w:p>
      <w:r>
        <w:t xml:space="preserve">Conclusions: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rPr>
          <w:color w:val="C00000"/>
        </w:rPr>
        <w:t>These findings are constrained by a small, heterogeneous evidence base, catheter-specification confounding in several positive studies, and low-to-very-low GRADE certainty.</w:t>
      </w:r>
      <w:r>
        <w:t xml:space="preserve"> </w:t>
      </w:r>
    </w:p>
    <w:p>
      <w:r>
        <w:t>Keywords: peripheral intravenous catheter, ultrasound-guided, landmark, difficult intravenous access (DIVA), catheter failure, dwell time, extravasation, systematic review, meta-analysis</w:t>
      </w:r>
    </w:p>
    <w:p>
      <w:r>
        <w:rPr>
          <w:b/>
          <w:sz w:val="26"/>
        </w:rPr>
        <w:t>Introduction</w:t>
      </w:r>
    </w:p>
    <w:p>
      <w: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 [4-6].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rPr>
          <w:color w:val="C00000"/>
        </w:rPr>
        <w:t>Rather than presuming a direction of effect, we evaluated whether post-insertion catheter performance differs between USG and landmark placement.</w:t>
      </w:r>
    </w:p>
    <w:p>
      <w:r>
        <w:rPr>
          <w:b/>
          <w:sz w:val="26"/>
        </w:rPr>
        <w:t>Methods</w:t>
      </w:r>
    </w:p>
    <w:p>
      <w:r>
        <w:rPr>
          <w:b/>
          <w:sz w:val="26"/>
        </w:rPr>
        <w:t>Search Strategy</w:t>
      </w:r>
    </w:p>
    <w:p>
      <w:r>
        <w:t>This systematic review and meta-analysis was conducted in accordance with the Preferred Reporting Items for Systematic Reviews and Meta-Analyses (PRISMA) 2020 guidelines and was prospectively registered in PROSPERO (CRD420261354170) (see Supplementary Material S1).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Supplementary Material S2).</w:t>
      </w:r>
    </w:p>
    <w:p>
      <w:r>
        <w:rPr>
          <w:b/>
          <w:sz w:val="26"/>
        </w:rPr>
        <w:t>Study Selection</w:t>
      </w:r>
    </w:p>
    <w:p>
      <w:r>
        <w:t xml:space="preserve">After removal of 273 duplicates, 1,359 unique records underwent title and abstract screening by two reviewers </w:t>
      </w:r>
      <w:r>
        <w:rPr>
          <w:color w:val="C00000"/>
        </w:rPr>
        <w:t xml:space="preserve">(C.C.C. and Y.L.W.) </w:t>
      </w:r>
      <w: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r>
        <w:t xml:space="preserve">All 19 records advancing to full-text consideration were retrieved and screened. </w:t>
      </w:r>
      <w:r>
        <w:rPr>
          <w:color w:val="C00000"/>
        </w:rP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w:t>
      </w:r>
      <w:r>
        <w:rPr>
          <w:color w:val="C00000"/>
        </w:rPr>
        <w:t xml:space="preserve"> Kleidon et al. (BJN, 2023) [13], a trial-protocol-only publication of the same EPIC trial without post-insertion outcome data, excluded as an overlapping report of the single included EPIC primary publication (Kleidon et al., JAMA Pediatrics, 2025) [12]. A further overlapping EPIC report (Kleidon et al., J Vasc Access, 2022 [11], a conference abstract) was identified and excluded earlier at the title/abstract screening stage.</w:t>
      </w:r>
      <w:r>
        <w:rPr/>
        <w:t xml:space="preserve"> Two studies (Desai et al., 2018 [14]; Nishizawa et al., 2020 [15]) were not available through initial institutional access but were subsequently retrieved via interlibrary loan and included in the final analysis (see Supplementary Material S3). </w:t>
      </w:r>
      <w:r>
        <w:rPr>
          <w:color w:val="C00000"/>
        </w:rPr>
        <w:t>The English-language report of the Avelar trial (Journal of Infusion Nursing, 2015 [5]) met all eligibility criteria and was included; the 2013 Portuguese article [10] is a companion report of the same trial (ClinicalTrials.gov NCT00930254) rather than a separate study.</w:t>
      </w:r>
    </w:p>
    <w:p>
      <w:r>
        <w:rPr>
          <w:b/>
          <w:sz w:val="26"/>
        </w:rPr>
        <w:t>Eligibility Criteria</w:t>
      </w:r>
    </w:p>
    <w:p>
      <w: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r>
        <w:rPr>
          <w:b/>
          <w:sz w:val="26"/>
        </w:rPr>
        <w:t>Data Extraction</w:t>
      </w:r>
    </w:p>
    <w:p>
      <w: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r>
        <w:rPr>
          <w:b/>
          <w:sz w:val="26"/>
        </w:rPr>
        <w:t>Risk of Bias Assessment</w:t>
      </w:r>
    </w:p>
    <w:p>
      <w:r>
        <w:t>Risk of bias for RCTs was assessed using the Cochrane Risk of Bias 2 (RoB 2) tool (Figure 1A) across five domains: randomisation process, deviations from intended interventions, missing outcome data, measurement of the outcome, and selection of the reported result. Each RCT was classified as low risk, some concerns, or high risk of bias. Observational studies were evaluated using the Newcastle-Ottawa Scale (NOS) (Figure 1B), with scores ranging from 0 to 9 stars across three domains: selection, comparability, and outcome (Figure 1C).</w:t>
      </w:r>
    </w:p>
    <w:p>
      <w:r>
        <w:rPr>
          <w:b/>
          <w:sz w:val="26"/>
        </w:rPr>
        <w:t>Statistical Analysis</w:t>
      </w:r>
    </w:p>
    <w:p>
      <w: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rPr>
          <w:color w:val="C00000"/>
        </w:rPr>
        <w:t>I²</w:t>
      </w:r>
      <w:r>
        <w:t xml:space="preserve"> statistic, with values of 25%, 50%, and 75% representing low, moderate, and high heterogeneity, respectively. Outcomes with </w:t>
      </w:r>
      <w:r>
        <w:rPr>
          <w:color w:val="C00000"/>
        </w:rPr>
        <w:t>I²</w:t>
      </w:r>
      <w:r>
        <w:t xml:space="preserve"> exceeding 75% were not pooled and were described narratively.</w:t>
      </w:r>
    </w:p>
    <w:p>
      <w: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r>
        <w:t>All analyses were performed using R (</w:t>
      </w:r>
      <w:r>
        <w:rPr>
          <w:color w:val="C00000"/>
        </w:rPr>
        <w:t>version 4.5.3</w:t>
      </w:r>
      <w:r>
        <w:t xml:space="preserve">) with the meta </w:t>
      </w:r>
      <w:r>
        <w:rPr>
          <w:color w:val="C00000"/>
        </w:rPr>
        <w:t>[31]</w:t>
      </w:r>
      <w:r>
        <w:t xml:space="preserve"> and metafor </w:t>
      </w:r>
      <w:r>
        <w:rPr>
          <w:color w:val="C00000"/>
        </w:rPr>
        <w:t>[32]</w:t>
      </w:r>
      <w:r>
        <w:t xml:space="preserve"> packages. A two-sided p-value &lt; 0.05 was considered statistically significant.</w:t>
      </w:r>
    </w:p>
    <w:p>
      <w:r>
        <w:t>The DerSimonian-Laird (DL) estimator was the pre-specified primary approach in our PROSPERO protocol, reflecting standard practice in systematic reviews at the time of registration. After the initial analytic run, we recognised that with only 2–4 studies contributing to each outcome, DL standard errors are known to be anti-conservative and the resulting confidence intervals can be narrower than warranted.15 We therefore 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r>
        <w:rPr>
          <w:b/>
          <w:sz w:val="26"/>
        </w:rPr>
        <w:t>Results</w:t>
      </w:r>
    </w:p>
    <w:p>
      <w:r>
        <w:rPr>
          <w:b/>
          <w:sz w:val="26"/>
        </w:rPr>
        <w:t>Study Characteristics</w:t>
      </w:r>
    </w:p>
    <w:p>
      <w: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rPr>
          <w:color w:val="C00000"/>
        </w:rPr>
        <w:t>4</w:t>
      </w:r>
      <w:r>
        <w:t xml:space="preserve"> were excluded at the full-text stage (1 single-arm comparator absent, </w:t>
      </w:r>
      <w:r>
        <w:rPr>
          <w:color w:val="C00000"/>
        </w:rPr>
        <w:t>1 Portuguese-language companion report</w:t>
      </w:r>
      <w:r>
        <w:t xml:space="preserve">, 1 unpublished, 1 duplicate/protocol report of the same EPIC trial), and </w:t>
      </w:r>
      <w:r>
        <w:rPr>
          <w:color w:val="C00000"/>
        </w:rPr>
        <w:t>15</w:t>
      </w:r>
      <w:r>
        <w:t xml:space="preserve"> studies met all inclusion criteria and were included in the qualitative synthesis. Of these, subsets contributed to individual meta-analyses depending on outcome reporting and eligibility for pooling (Figure 2; PRISMA flow diagram).</w:t>
      </w:r>
    </w:p>
    <w:p>
      <w:r>
        <w:t xml:space="preserve">The </w:t>
      </w:r>
      <w:r>
        <w:rPr>
          <w:color w:val="C00000"/>
        </w:rPr>
        <w:t>15</w:t>
      </w:r>
      <w:r>
        <w:t xml:space="preserve"> included studies comprised </w:t>
      </w:r>
      <w:r>
        <w:rPr>
          <w:color w:val="C00000"/>
        </w:rPr>
        <w:t>6</w:t>
      </w:r>
      <w:r>
        <w:t xml:space="preserve"> RCTs and 9 cohort studies, enrolling a total of </w:t>
      </w:r>
      <w:r>
        <w:rPr>
          <w:color w:val="C00000"/>
        </w:rPr>
        <w:t>78,591</w:t>
      </w:r>
      <w:r>
        <w:t xml:space="preserve"> participants (Table 1). Studies were conducted in Australia (n = 1), </w:t>
      </w:r>
      <w:r>
        <w:rPr>
          <w:color w:val="C00000"/>
        </w:rPr>
        <w:t xml:space="preserve">Brazil (n = 1), </w:t>
      </w:r>
      <w:r>
        <w:t xml:space="preserve">France (n = 1), India (n = 1), Italy (n = 2), Japan (n = 1), and the United States (n = 8). Seven studies enrolled adult participants and </w:t>
      </w:r>
      <w:r>
        <w:rPr>
          <w:color w:val="C00000"/>
        </w:rPr>
        <w:t>eight</w:t>
      </w:r>
      <w:r>
        <w:t xml:space="preserve"> enrolled pediatric patients. Settings included the emergency department (n = 8), intensive care unit (n = 3), inpatient hospital setting (n = 2), a quaternary children’s hospital (n = 1)</w:t>
      </w:r>
      <w:r>
        <w:rPr>
          <w:color w:val="C00000"/>
        </w:rPr>
        <w:t>, and a pediatric surgical unit (n = 1)</w:t>
      </w:r>
      <w:r>
        <w:t xml:space="preserve"> (Table 1). Six studies specifically enrolled DIVA populations, while the remainder included patients of mixed or all difficulty levels (Table 1).</w:t>
      </w:r>
    </w:p>
    <w:p>
      <w:r>
        <w:t xml:space="preserve">Full study characteristics are detailed in Table 1. Key features are summarized below. Among the </w:t>
      </w:r>
      <w:r>
        <w:rPr>
          <w:color w:val="C00000"/>
        </w:rPr>
        <w:t>six</w:t>
      </w:r>
      <w:r>
        <w:t xml:space="preserve"> RCTs, Kleidon et al. (2025) conducted the EPIC trial in 164 pediatric patients (Australia) [12]; Bridey et al. (2018) randomized 114 adult ICU DIVA patients (France) [16]; Varghese et al. (2025) enrolled 90 pediatric ED patients with two-hour follow-up only (India) [17]; Leroux et al. (2023) enrolled 222 adult ED patients but was substantially underpowered (target 582, enrolled 223; USA) [18]; and Nishizawa et al. (2020) randomized 60 adult ICU DIVA patients to nurse-performed USG versus standard care (Japan) [15], reporting post-insertion extravasation as a secondary outcome (13.6% vs 28.5%, p=0.394). </w:t>
      </w:r>
      <w:r>
        <w:rPr>
          <w:color w:val="C00000"/>
        </w:rPr>
        <w:t>Avelar et al. (2015) randomized 382 venipunctures in 335 pediatric surgical patients (Brazil) using identical 19-mm catheters in both arms, reporting infiltration and phlebitis as post-insertion outcomes [5].</w:t>
      </w:r>
    </w:p>
    <w:p>
      <w:r>
        <w:t>Among the nine cohort studies, Feinsmith et al. (2021) was the largest (n=43,470 adult DIVA patients; USA) [19]. Shokoohi et al. (2019) prospectively followed 330 adult ED patients with 72-hour follow-up, achieving the highest NOS score (9/9) [20]. Cottrell et al. (2021) is notable as the only unconfounded study reporting significantly longer USG dwell time (mean 96.1 vs. 59.4 hours; p&lt;0.001) using identical catheter types in both groups, though USG cases were disproportionately classified as difficult (75% vs. 36%) [21].</w:t>
      </w:r>
    </w:p>
    <w:p>
      <w:r>
        <w:t>Four cohort studies were identified as having major catheter-specification confounding (detailed in the section below): Dachepally et al. (2023) [22], Paladini et al. (2018) [23], Refosco et al. (2025) [24], and Desai et al. (2018) [14]. In all four, USG catheters were systematically longer or of different material than comparator catheters, rendering outcome differences unattributable to ultrasound guidance alone.</w:t>
      </w:r>
    </w:p>
    <w:p>
      <w:r>
        <w:rPr>
          <w:b/>
          <w:sz w:val="26"/>
        </w:rPr>
        <w:t>Risk of Bias</w:t>
      </w:r>
    </w:p>
    <w:p>
      <w:r>
        <w:t xml:space="preserve">Among the </w:t>
      </w:r>
      <w:r>
        <w:rPr>
          <w:color w:val="C00000"/>
        </w:rPr>
        <w:t>six</w:t>
      </w:r>
      <w:r>
        <w:t xml:space="preserve"> RCTs, </w:t>
      </w:r>
      <w:r>
        <w:rPr>
          <w:color w:val="C00000"/>
        </w:rPr>
        <w:t>five</w:t>
      </w:r>
      <w:r>
        <w:t xml:space="preserve"> were judged to have “some concerns” overall (Kleidon et al., 2025 [12]; Bridey et al., 2018 [16]; Varghese et al., 2025 [17]</w:t>
      </w:r>
      <w:r>
        <w:rPr>
          <w:color w:val="C00000"/>
        </w:rPr>
        <w:t>; Nishizawa et al., 2020 [15]; Avelar et al., 2015 [5]</w:t>
      </w:r>
      <w:r>
        <w:t>), primarily related to performance bias inherent in open-label designs where blinding of the operator is not feasible</w:t>
      </w:r>
      <w:r>
        <w:rPr>
          <w:color w:val="C00000"/>
        </w:rPr>
        <w:t>; for Avelar, complications in the USG arm were ascertained with ultrasound visualization whereas the landmark arm was assessed clinically, a differential outcome ascertainment that may bias the infiltration comparison</w:t>
      </w:r>
      <w:r>
        <w:t>. Leroux et al. (2023) was rated as high risk of bias due to substantial attrition and failure to reach the target sample size [18].</w:t>
      </w:r>
    </w:p>
    <w:p>
      <w:r>
        <w:t>Among the nine cohort studies, NOS scores ranged from 5 to 9 (Table 2). Shokoohi et al. (2019) achieved the maximum score of 9/9 [20]. Feinsmith et al. (2023) [19], Dachepally et al. (2023) [22], Paladini et al. (2018) [23], Cottrell et al. (2021) [21], and Refosco et al. (2025) [24] each scored 6/9, with points deducted primarily in the comparability domain (catheter type confounding for Dachepally, Paladini, and Refosco; difficulty-classification imbalance for Cottrell). Favot et al. (2019) [25], Saltarelli et al. (2015) [26], and Desai et al. (2018) [14] scored 5/9 (Table 2).</w:t>
      </w:r>
    </w:p>
    <w:p>
      <w:r>
        <w:rPr>
          <w:b/>
          <w:sz w:val="26"/>
        </w:rPr>
        <w:t>Meta-Analysis Results</w:t>
      </w:r>
    </w:p>
    <w:p>
      <w:r>
        <w:t>Primary Outcome: Catheter Failure</w:t>
      </w:r>
    </w:p>
    <w:p>
      <w:r>
        <w:t>Four studies reported catheter failure or premature removal as a dichotomous outcome and were eligible for pooling (Kleidon et al., 2025 [12]; Leroux et al., 2023 [18]; Shokoohi et al., 2019 [20]; Saltarelli et al., 2015 [26]. The pooled random-effects RR was 1.23 (95% CI 1.00–1.51; p = 0.056; I2 = 0%), indicating no statistically significant difference between USG and landmark groups (Figure 3). Although the lower bound rounds to 1.00 at two decimal places, the precise value (1.00) confirms that the confidence interval crossed unity. The point estimate favoured landmark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(Desai et al. 2018) [15] 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Supplementary Material S4: leave-one-out for catheter failure).</w:t>
      </w:r>
    </w:p>
    <w:p>
      <w:r>
        <w:t>A post-hoc design-stratified analysis showed that the catheter-failure signal arose primarily from the cohort studies (k = 2; RR 1.29, 95% CI 1.02–1.63; p = 0.036), whereas the RCT-only estimate was essentially flat (k = 2; RR 1.03, 95% CI 0.66–1.61; p = 0.88). The design-by-effect interaction test was non-significant (p = 0.37); with only 2 studies in each design tier this comparison is severely underpowered. This pattern suggests that the overall estimate is influenced more by the cohort studies than by the RCTs.</w:t>
      </w:r>
    </w:p>
    <w:p>
      <w:r>
        <w:t>Primary Outcome: Dwell Time</w:t>
      </w:r>
    </w:p>
    <w:p>
      <w:r>
        <w:t>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(Figure 4). The conflicting results likely reflect differences in populations, operator expertise, and clinical context: Cottrell et al. studied a specialised vascular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a generalisable effect of the guidance modality. Two additional studies reporting dwell time (Refosco 2025, Desai 2018) [14. 24] were excluded from this analysis due to catheter length confounding.</w:t>
      </w:r>
    </w:p>
    <w:p>
      <w:r>
        <w:t>Secondary Outcome: Infiltration</w:t>
      </w:r>
    </w:p>
    <w:p>
      <w:r>
        <w:rPr>
          <w:color w:val="C00000"/>
        </w:rPr>
        <w:t>Three</w:t>
      </w:r>
      <w:r>
        <w:t xml:space="preserve"> studies reported infiltration rates (Varghese et al., 2025 [17]; Saltarelli et al., 2015 [26]</w:t>
      </w:r>
      <w:r>
        <w:rPr>
          <w:color w:val="C00000"/>
        </w:rPr>
        <w:t>; Avelar et al., 2015 [5]</w:t>
      </w:r>
      <w:r>
        <w:t xml:space="preserve">). The pooled RR was </w:t>
      </w:r>
      <w:r>
        <w:rPr>
          <w:color w:val="C00000"/>
        </w:rPr>
        <w:t>1.30 (95% CI 0.82–2.05; p = 0.26; I² = 48.8%)</w:t>
      </w:r>
      <w:r>
        <w:t>, indicating no significant difference (Figure 5). Varghese et al. found a non-significant trend favoring USG (2.22% vs. 11.11%; p = 0.09) [17], while Saltarelli et al. reported a non-significant trend against USG (7.6% vs. 5.9%; OR 1.31, 95% CI 0.92–1.88) [26]</w:t>
      </w:r>
      <w:r>
        <w:rPr>
          <w:color w:val="C00000"/>
        </w:rPr>
        <w:t>; the newly included Avelar trial reported significantly higher infiltration with USG (34/161 [21.1%] vs. 23/178 [12.9%]; P = .025) [5], although complications in its USG arm were ascertained with ultrasound visualization, which may have increased detection</w:t>
      </w:r>
      <w:r>
        <w:t xml:space="preserve"> (Figure 5).</w:t>
      </w:r>
    </w:p>
    <w:p>
      <w:r>
        <w:t>Secondary Outcome: Extravasation</w:t>
      </w:r>
    </w:p>
    <w:p>
      <w:r>
        <w:t>Three studies reported extravasation events (Bridey et al. 2018, Favot et al. 2019, Nishizawa et al. 2020) [15, 16, 25]; however, the fundamental incompatibility of their populations and outcome definitions precludes any meaningful pooled inference, and individual study results are the primary informative unit. Bridey et al. found extravasation as a reason for catheter removal in 34% of USG versus 18% of landmark catheters (p = 0.094) in an adult ICU setting (Supplementary figure 1) [16]. Favot et al. reported contrast extravasation rates of 4.1% with USG versus 0.21% with standard PIVCs (RR 19.4, 95% CI 10.6–35.6), confined to a highly specific high-pressure CT contrast injection context (Supplementary figure 1) [25]. Nishizawa et al. reported a directionally opposite finding (13.6% vs 28.5%, p = 0.394) in a small ICU RCT (Supplementary figure 1) [15]. A formal meta-analytic pooling was performed for completeness and yielded an uninterpretable summary estimate (RR 2.75, 95% CI 0.29–26.28; I²=95.7%), confirming statistical incompatibility; this figure should not be read as a meaningful effect estimate (Supplementary Figure 1).</w:t>
      </w:r>
    </w:p>
    <w:p>
      <w:r>
        <w:t>Time-to-event-adjacent estimates (not pooled)</w:t>
      </w:r>
    </w:p>
    <w:p>
      <w:r>
        <w:t xml:space="preserve">Two studies reported effect estimates with a time-to-event component but using different statistical metrics, precluding meaningful meta-analytic pooling. Feinsmith et al. (2021) reported an adjusted hazard ratio (HR) of 0.91 (95% CI 0.87–0.95) favoring USG for catheter survival at 30 days, derived from a multivariable Cox proportional hazards model </w:t>
      </w:r>
      <w:r>
        <w:rPr>
          <w:color w:val="C00000"/>
        </w:rPr>
        <w:t>(Supplementary Figure 2)</w:t>
      </w:r>
      <w:r>
        <w:t xml:space="preserve">. Shokoohi et al. (2019) reported a premature removal risk ratio (RR) of 1.26 (95% CI 0.88–1.80) trending against USG at a fixed 72-hour follow-up window, a cumulative-incidence ratio rather than a hazard ratio </w:t>
      </w:r>
      <w:r>
        <w:rPr>
          <w:color w:val="C00000"/>
        </w:rPr>
        <w:t>(Supplementary Figure 2)</w:t>
      </w:r>
      <w: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rPr>
          <w:color w:val="C00000"/>
        </w:rPr>
        <w:t>The divergent directions of the 30-day adjusted HR and the 72-hour cumulative-incidence RR most plausibly reflect their different time windows and effect metrics rather than a true difference in catheter performance; the corresponding forest plot has been relocated to Supplementary Figure 2 [19, 20].</w:t>
      </w:r>
    </w:p>
    <w:p>
      <w:r>
        <w:t>Subgroup and Sensitivity Analyses</w:t>
      </w:r>
    </w:p>
    <w:p>
      <w:r>
        <w:t>Adult vs. Pediatric Subgroup (Catheter Failure)</w:t>
      </w:r>
    </w:p>
    <w:p>
      <w:r>
        <w:t>Among adult studies (k = 3), the pooled RR was 1.28 (95% CI 1.02–1.60; p = 0.03), with the point estimate trending unfavourable to USG (Figure 7). Only one pediatric study (Kleidon et al., 2025) contributed to this outcome, with RR 0.95 suggesting no difference (Figure 7). The test for subgroup differences was not significant (p = 0.32), indicating that the observed adult-subgroup result should be interpreted as hypothesis-generating rather than confirmatory (Figure 7). (See “Primary Outcome: Catheter Failure” above for the post-hoc design-stratified analysis [RCT-only vs cohort-only] and the leave-one-out sensitivity analysis showing dependence on the largest cohort study.)</w:t>
      </w:r>
    </w:p>
    <w:p>
      <w:r>
        <w:t>Studies with Major Confounding</w:t>
      </w:r>
    </w:p>
    <w:p>
      <w:r>
        <w:t>Four studies were excluded from the primary pooled analyses due to systematic differences in catheter specifications between groups. Dachepally et al. (2023) reported dramatically longer dwell times for USG catheters (median 219 vs. 108 hours; HR 2.20, 95% CI 1.45–3.34) in a pediatric ICU setting, but USG catheters were exclusively 4.4 cm in length compared with 1.9–3.2 cm in the traditional group [22].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Refosco et al. (</w:t>
      </w:r>
      <w:r>
        <w:rPr>
          <w:color w:val="C00000"/>
        </w:rPr>
        <w:t>2025</w:t>
      </w:r>
      <w:r>
        <w:t>) reported longer dwell times (5.3 ± 4.0 vs. 2.5 ± 1.8 days; p &lt; 0.001) and fewer complications (34% vs. 70%; p &lt; 0.001) with USG in a pediatric ED, but USG cannulas were predominantly 64 mm long peripheral catheters compared with 19-32 mm short cannulas in the blind group [24].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r>
        <w:rPr>
          <w:b/>
          <w:sz w:val="26"/>
        </w:rPr>
        <w:t>Discussion</w:t>
      </w:r>
    </w:p>
    <w:p>
      <w:r>
        <w:t>Interpretation of Main Findings</w:t>
      </w:r>
    </w:p>
    <w:p>
      <w:r>
        <w:rPr/>
        <w:t xml:space="preserve">This systematic review and meta-analysis is, to our knowledge, the first to specifically and comprehensively evaluate post-insertion outcomes of USG compared with landmark PIVC placement. Across </w:t>
      </w:r>
      <w:r>
        <w:rPr>
          <w:color w:val="C00000"/>
        </w:rPr>
        <w:t>15</w:t>
      </w:r>
      <w:r>
        <w:rPr/>
        <w:t xml:space="preserve"> studies enrolling </w:t>
      </w:r>
      <w:r>
        <w:rPr>
          <w:color w:val="C00000"/>
        </w:rPr>
        <w:t>78,591</w:t>
      </w:r>
      <w:r>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above 1.0 (Figure 2). Dwell time results were heterogeneous and could not be pooled (I² = 91.9%) (Figure 3). These findings challenge the implicit assumption that the well-documented insertion benefits of USG translate into superior catheter performance after placement.</w:t>
      </w:r>
    </w:p>
    <w:p>
      <w:r>
        <w:t>The addition of Cottrell et al. (2021) introduced substantial heterogeneity into the dwell time analysis (I² = 91.9%) (</w:t>
      </w:r>
      <w:r>
        <w:rPr>
          <w:color w:val="C00000"/>
        </w:rPr>
        <w:t>Figure 4</w:t>
      </w:r>
      <w:r>
        <w:t>), preventing meta-analytic pooling. This study’s positive finding, a 36.7-hour dwell time advantage for USG, is notable because it used identical catheter types in both groups, thus controlling for the catheter length confounding present in other positive studies (</w:t>
      </w:r>
      <w:r>
        <w:rPr>
          <w:color w:val="C00000"/>
        </w:rPr>
        <w:t>Figure 4</w:t>
      </w:r>
      <w:r>
        <w:t>). Cottrell et al.’s findings should be interpreted within the appropriate clinical context, as patients in the ultrasound-guided group were more frequently classified as having difficult vascular access (75% vs. 36%) [21]. Additionally, the involvement of a specialised vascular access team may have contributed to improved catheter placement outcomes through expert vessel selection, rather than reflecting the isolated effect of ultrasound guidance itself.</w:t>
      </w:r>
    </w:p>
    <w:p>
      <w: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r>
        <w:t>A critical finding of this review is the identification of catheter length and type as likely confounders in studies reporting favorable USG outcomes. Dachepally et al. (2023) [22], Paladini et al. (2018) [23], Refosco et al. (2025) [24], and Desai et al. (2018) [14]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r>
        <w:t>An important question arising from this observation is whether USG inherently induces the use of longer catheters. By visualising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r>
        <w:t>Extravasation as a Potential Safety Signal</w:t>
      </w:r>
    </w:p>
    <w:p>
      <w:r>
        <w:t>An exploratory extravasation signal emerges from three studies that warrants acknowledgment, while noting that the certainty of this evidence is very low (GRADE ⊕◯◯◯). Bridey et al. (2018) [16] and Favot et al. (2019) [25] reported numerically higher extravasation rates with USG, though the magnitude differed dramatically (RR 1.92 vs. 19.4); Nishizawa et al. (2020) [15] reported a directionally opposite finding (13.6% vs. 28.5%). The extreme between-study heterogeneity (I2 =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r>
        <w:t>The subgroup analysis by age group generated a hypothesis worth noting in the context of future research. Among adult studies (k = 3), the pooled RR was 1.28 (95% CI 1.02–1.60; p = 0.03) (</w:t>
      </w:r>
      <w:r>
        <w:rPr>
          <w:color w:val="C00000"/>
        </w:rPr>
        <w:t>Figure 6</w:t>
      </w:r>
      <w:r>
        <w:t>), with the point estimate trending unfavorably for USG. A biomechanically plausible explanation exists: USG targets deeper veins that may be more prone to catheter tip migration with standard-length catheters. In contrast, the single pediatric study (Kleidon et al., 2025) [</w:t>
      </w:r>
      <w:r>
        <w:rPr>
          <w:color w:val="C00000"/>
        </w:rPr>
        <w:t>12</w:t>
      </w:r>
      <w: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r>
        <w:t>As reported above (Results, Catheter Failure), the post-hoc design-stratified analysis showed that the borderline overall failure signal arose from the cohort studies (RR 1.29, 95% CI 1.02–1.63) while the RCT-only estimate was flat (RR 1.03, 95% CI 0.66–1.61). The Feinsmith et al. (2021)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r>
        <w:rPr>
          <w:b/>
          <w:sz w:val="26"/>
        </w:rPr>
        <w:t>Study Limitations</w:t>
      </w:r>
    </w:p>
    <w:p>
      <w:r>
        <w:rPr/>
        <w:t xml:space="preserve">This review has several important limitations. First, the evidence base is small and heterogeneous, comprising only </w:t>
      </w:r>
      <w:r>
        <w:rPr>
          <w:color w:val="C00000"/>
        </w:rPr>
        <w:t>six</w:t>
      </w:r>
      <w:r>
        <w:rPr/>
        <w:t xml:space="preserve"> RCTs and nine cohort studies with varied populations, settings, outcome definitions, and follow-up durations. Second, inter-rater agreement for title/abstract screening was fair (Cohen’s kappa = 0.330; percent agreement 95.8%), reflecting the κ paradox under high exclusion prevalence11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 4-6 (no eligible studies missed) and an audit trail of all second-pass decisions. Third, four studies had major confounding by catheter type or selection, necessitating their exclusion from pooled analyses. Fourth, Saltarelli et al. (2015) [26] was available only as a conference abstract with limited methodological detail. Fifth, Varghese et al. (2025) [17] employed only a two-hour follow-up, which is insufficient to capture most post-insertion complications. Sixth, Leroux et al. (2023) was substantially underpowered due to COVID-19-related recruitment challenges. Seventh, formal assessment of publication bias was not possible because fewer than 10 studies contributed to any single meta-analysis. </w:t>
      </w:r>
      <w:r>
        <w:rPr>
          <w:color w:val="C00000"/>
        </w:rPr>
        <w:t>Eighth,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 Ninth, in the newly included Avelar trial, post-insertion complications in the ultrasound arm were ascertained with ultrasound visualization while the landmark arm was assessed clinically, a differential ascertainment that may inflate the infiltration signal.</w:t>
      </w:r>
      <w:r>
        <w:rPr/>
        <w:t xml:space="preserve"> Finally, the overall certainty of evidence as assessed by the GRADE framework ranged from low to very low across all outcomes [30], reflecting the predominance of observational studies, serious imprecision, and the limitations of the available RCTs.</w:t>
      </w:r>
    </w:p>
    <w:p>
      <w:r>
        <w:rPr>
          <w:b/>
          <w:sz w:val="26"/>
        </w:rPr>
        <w:t>Clinical Implications</w:t>
      </w:r>
    </w:p>
    <w:p>
      <w: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r>
        <w:rPr>
          <w:b/>
          <w:sz w:val="26"/>
        </w:rPr>
        <w:t>Conclusion</w:t>
      </w:r>
    </w:p>
    <w:p>
      <w:r>
        <w:t xml:space="preserve">This systematic review and meta-analysis of </w:t>
      </w:r>
      <w:r>
        <w:rPr>
          <w:color w:val="C00000"/>
        </w:rPr>
        <w:t>15</w:t>
      </w:r>
      <w:r>
        <w:t xml:space="preserve">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0.99–1.51;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 The current evidence more strongly supports the insertion-phase advantage of USG (well established in prior systematic reviews) than any consistent post-insertion advantage. Future adequately powered RCTs that control for catheter length, gauge, and material are essential to provide definitive evidence.</w:t>
      </w:r>
    </w:p>
    <w:p>
      <w:r>
        <w:t>PROSPERO Registration: CRD420261354170</w:t>
      </w:r>
    </w:p>
    <w:p>
      <w:r>
        <w:rPr>
          <w:b/>
          <w:sz w:val="26"/>
        </w:rPr>
        <w:t>Funding: None.</w:t>
      </w:r>
    </w:p>
    <w:p>
      <w:r>
        <w:t>Conflicts of interest: None declared.</w:t>
      </w:r>
    </w:p>
    <w:p>
      <w: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r>
        <w:rPr>
          <w:b/>
          <w:sz w:val="26"/>
        </w:rPr>
        <w:t>References</w:t>
      </w:r>
    </w:p>
    <w:p>
      <w:r>
        <w:t>1.</w:t>
        <w:tab/>
        <w:t>Alexandrou E, Ray-Barruel G, Carr PJ, Frost SA, Inwood S, Higgins N, et al. Use of Short Peripheral Intravenous Catheters: Characteristics, Management, and Outcomes Worldwide. J Hosp Med. 2018;13(5).</w:t>
      </w:r>
    </w:p>
    <w:p>
      <w:r>
        <w:t>2.</w:t>
        <w:tab/>
        <w:t>O'Grady NP, Alexander M, Burns LA, Dellinger EP, Garland J, Heard SO, et al. Guidelines for the prevention of intravascular catheter-related infections. Am J Infect Control. 2011;39(4 Suppl 1):S1-34.</w:t>
      </w:r>
    </w:p>
    <w:p>
      <w:r>
        <w:t>3.</w:t>
        <w:tab/>
        <w:t>Nickel B, Gorski L, Kleidon T, Kyes A, DeVries M, Keogh S, et al. Infusion Therapy Standards of Practice, 9th Edition. J Infus Nurs. 2024;47(1S Suppl 1):S1-S285.</w:t>
      </w:r>
    </w:p>
    <w:p>
      <w:r>
        <w:t>4.</w:t>
        <w:tab/>
        <w:t>Egan G, Healy D, O'Neill H, Clarke-Moloney M, Grace PA, Walsh SR. Ultrasound guidance for difficult peripheral venous access: systematic review and meta-analysis. Emerg Med J. 2013;30(7):521-6.</w:t>
      </w:r>
    </w:p>
    <w:p>
      <w:r>
        <w:t>5.</w:t>
        <w:tab/>
        <w:t>Avelar AF, Peterlini MA, da Luz Goncalves Pedreira M. Ultrasonography-Guided Peripheral Intravenous Access in Children: A Randomized Controlled Trial. J Infus Nurs. 2015;38(5):320-7.</w:t>
      </w:r>
    </w:p>
    <w:p>
      <w:r>
        <w:t>6.</w:t>
        <w:tab/>
        <w:t>van Loon FHJ, Buise MP, Claassen JJF, Dierick-van Daele ATM, Bouwman ARA. Comparison of ultrasound guidance with palpation and direct visualization for peripheral vein cannulation in adult patients: a systematic review and meta-analysis. Br J Anaesth. 2018;121(2):358-66.</w:t>
      </w:r>
    </w:p>
    <w:p>
      <w:r>
        <w:t>7.</w:t>
        <w:tab/>
        <w:t>Fields JM, Dean AJ, Todman RW, Au AK, Anderson KL, Ku BS, et al. The effect of vessel depth, diameter, and location on ultrasound-guided peripheral intravenous catheter longevity. Am J Emerg Med. 2012;30(7):1134-40.</w:t>
      </w:r>
    </w:p>
    <w:p>
      <w:r>
        <w:t>8.</w:t>
        <w:tab/>
        <w:t>Elia F, Ferrari G, Molino P, Converso M, De Filippi G, Milan A, et al. Standard-length catheters vs long catheters in ultrasound-guided peripheral vein cannulation. Am J Emerg Med. 2012;30(5):712-6.</w:t>
      </w:r>
    </w:p>
    <w:p>
      <w:r>
        <w:t>9.</w:t>
        <w:tab/>
        <w:t>Malik A, Dewald O, Gallien J, Favot M, Kasten A, Reed B, et al. Outcomes of Ultrasound Guided Peripheral Intravenous Catheters Placed in the Emergency Department and Factors Associated with Survival. Open Access Emerg Med. 2023;15:177-87.</w:t>
      </w:r>
    </w:p>
    <w:p>
      <w:r>
        <w:t>10.</w:t>
        <w:tab/>
        <w:t>Avelar AF, Peterlini MA, da Pedreira ML. [Assertiveness and peripheral intravenous catheters dwell time with ultrasonography-guided insertion in children and adolescents]. Rev Esc Enferm USP. 2013;47(3):539-46.</w:t>
      </w:r>
    </w:p>
    <w:p>
      <w:r>
        <w:t>11.</w:t>
        <w:tab/>
        <w:t>Kleidon TM, Schults J, Paterson R, Rickard CM, Ullman AJ. Comparison of ultrasound-guided peripheral intravenous catheter insertion with landmark technique in pediatric patients: A systematic review and meta-analysis. J Paediatr Child Health. 2022;58(6):953-61.</w:t>
      </w:r>
    </w:p>
    <w:p>
      <w:r>
        <w:t>12.</w:t>
        <w:tab/>
        <w:t>Kleidon TM, Schults JA, Royle RH, Gibson V, Ware RS, Andresen E, et al. First-Attempt Success in Ultrasound-Guided vs Standard Peripheral Intravenous Catheter Insertion: The EPIC Superiority Randomized Clinical Trial. JAMA Pediatr. 2025;179(3):255-63.</w:t>
      </w:r>
    </w:p>
    <w:p>
      <w:r>
        <w:t>13.</w:t>
        <w:tab/>
        <w:t>Kleidon TM, Schults J, Rickard C, Ullman AJ. Ultrasound-guided PIVC insertion: a randomized controlled trial protocol. Br J Nurs. 2023;32(14):S22-S8.</w:t>
      </w:r>
    </w:p>
    <w:p>
      <w:r>
        <w:t>14.</w:t>
        <w:tab/>
        <w:t>Desai K, Vinograd AM, Abbadessa MKF, Chen AE. Longevity and Complication Rates of Ultrasound Guided Versus Traditional Peripheral Intravenous Catheters in a Pediatric Emergency Department. J Assoc Vasc Access. 2018;23(3):149-154.</w:t>
      </w:r>
    </w:p>
    <w:p>
      <w:r>
        <w:t>15.</w:t>
        <w:tab/>
        <w:t>Nishizawa T, Matsumoto T, Todaka T, Sasano M, Kitagawa H, Shimabuku A. Nurse-Performed Ultrasound-Guided Technique for Difficult Peripheral Intravenous Access in Critically Ill Patients: A Randomized Controlled Trial. J Assoc Vasc Access. 2020;25(2):34-39.</w:t>
      </w:r>
    </w:p>
    <w:p>
      <w:r>
        <w:t>16.</w:t>
        <w:tab/>
        <w:t>Bridey C, Thilly N, Lefevre T, Maire-Richard A, Morel M, Levy B, et al. Ultrasound-guided versus landmark approach for peripheral intravenous access by critical care nurses: a randomized controlled study. BMJ Open. 2018;8(6):e020220.</w:t>
      </w:r>
    </w:p>
    <w:p>
      <w:r>
        <w:t>17.</w:t>
        <w:tab/>
        <w:t>Varghese S, Ranjit T. Ultrasound-Guided vs Landmark Peripheral IV Cannulation in the Pediatric ED: A Randomized Controlled Trial. Int J Med Public Health. 2025;15(4):1880-1885.</w:t>
      </w:r>
    </w:p>
    <w:p>
      <w:r>
        <w:t>18.</w:t>
        <w:tab/>
        <w:t>Leroux S, Deaner T, Wasser T, Huey C, Carr B, Howard A, et al. The Impact of Peripheral Intravenous Catheter Insertion Technique and Catheter-to-Vein Ratio on Postinsertion Failure. J Emerg Med. 2023;64(5):564-73.</w:t>
      </w:r>
    </w:p>
    <w:p>
      <w:r>
        <w:t>19.</w:t>
        <w:tab/>
        <w:t>Feinsmith SE, Amick AE, Feinglass JM, Sell J, Davis EM, Spencer TR, et al. Performance of peripheral catheters inserted with ultrasound guidance versus landmark technique after a simulation-based mastery learning intervention. J Vasc Access. 2023;24(4):630-8.</w:t>
      </w:r>
    </w:p>
    <w:p>
      <w:r>
        <w:t>20.</w:t>
        <w:tab/>
        <w:t>Shokoohi H, Boniface KS, Kulie P, Long A, McCarthy M. The Utility and Survivorship of Peripheral Intravenous Catheters Inserted in the Emergency Department. Ann Emerg Med. 2019;74(3):381-90.</w:t>
      </w:r>
    </w:p>
    <w:p>
      <w:r>
        <w:t>21.</w:t>
        <w:tab/>
        <w:t>Cottrell JT, Chang T, Baird J, Barreras J, Elkhunovich MA. Ultrasound-guided placement of peripherally inserted intravenous catheters increase catheter dwell time in children. J Vasc Access. 2021;22(2):189-93.</w:t>
      </w:r>
    </w:p>
    <w:p>
      <w:r>
        <w:t>22.</w:t>
        <w:tab/>
        <w:t>Dachepally R, Garcia AD, Liu W, Flechler C, Hanna WJ. Assessing the utility of ultrasound-guided vascular access placement with longer catheters in critically ill pediatric patients. Paediatr Anaesth. 2023;33(6):460-5.</w:t>
      </w:r>
    </w:p>
    <w:p>
      <w:r>
        <w:t>23.</w:t>
        <w:tab/>
        <w:t>Paladini A, Chiaretti A, Sellasie KW, Pittiruti M, Vento G. Ultrasound-guided placement of long peripheral cannulas in children over the age of 10 years admitted to the emergency department: a pilot study. BMJ Paediatr Open. 2018;2(1):e000244.</w:t>
      </w:r>
    </w:p>
    <w:p>
      <w:r>
        <w:t>24.</w:t>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r>
        <w:t>25.</w:t>
        <w:tab/>
        <w:t>Favot M, Gallien J, Malik A, Kasten A, Wells R, Ehrman R. Contrast Extravasation as a Complication of Emergency Nurse-Performed Ultrasound-Guided Peripheral Intravenous Catheter Placement. J Emerg Nurs. 2019;45(5):512-6.</w:t>
      </w:r>
    </w:p>
    <w:p>
      <w:r>
        <w:t>26.</w:t>
        <w:tab/>
        <w:t>Saltarelli NA, VanHouten J, Boyd J, Rupp J, Ferre RM. Infiltration Rates Are Similar in Ultrasound-Guided and Traditionally Placed Peripheral IVs in Admitted Emergency Department Patients With Difficult IV Access. Ann Emerg Med. 2015;66(4 Suppl):S137.</w:t>
      </w:r>
    </w:p>
    <w:p>
      <w:r>
        <w:t>27.</w:t>
        <w:tab/>
        <w:t>Stolz LA, Stolz U, Howe C, Farrell IJ, Adhikari S. Ultrasound-guided peripheral venous access: a meta-analysis and systematic review. J Vasc Access. 2015;16(4):321-6.</w:t>
      </w:r>
    </w:p>
    <w:p>
      <w:r>
        <w:t>28.</w:t>
        <w:tab/>
        <w:t>van Loon FHJ, Korsten HHM, Dierick-van Daele ATM, Bouwman ARA. The impact of the catheter to vein ratio on peripheral intravenous cannulation success, a post-hoc analyses. PLoS One. 2021;16(5):e0252166.</w:t>
      </w:r>
    </w:p>
    <w:p>
      <w:r>
        <w:t>29.</w:t>
        <w:tab/>
        <w:t>Pandurangadu AV, Tucker J, Brackney AR, Bahl A. Ultrasound-guided intravenous catheter survival impacted by amount of catheter residing in the vein. Emerg Med J. 2018;35(9):550-5.</w:t>
      </w:r>
    </w:p>
    <w:p>
      <w:r>
        <w:t>30.</w:t>
        <w:tab/>
        <w:t>Guyatt GH, Oxman AD, Vist GE, Kunz R, Falck-Ytter Y, Alonso-Coello P, et al. GRADE: an emerging consensus on rating quality of evidence and strength of recommendations. BMJ. 2008;336(7650):924-6.</w:t>
      </w:r>
    </w:p>
    <w:p>
      <w:r>
        <w:rPr>
          <w:color w:val="C00000"/>
        </w:rPr>
        <w:t>31.</w:t>
        <w:tab/>
        <w:t>Balduzzi S, Rücker G, Schwarzer G. How to perform a meta-analysis with R: a practical tutorial. Evid Based Ment Health. 2019;22(4):153-160.</w:t>
      </w:r>
    </w:p>
    <w:p>
      <w:r>
        <w:rPr>
          <w:color w:val="C00000"/>
        </w:rPr>
        <w:t>32.</w:t>
        <w:tab/>
        <w:t>Viechtbauer W. Conducting meta-analyses in R with the metafor package. J Stat Softw. 2010;36(3):1-48.</w:t>
      </w:r>
    </w:p>
    <w:p>
      <w:r>
        <w:rPr>
          <w:b/>
          <w:sz w:val="26"/>
        </w:rPr>
        <w:t>Figure legends</w:t>
      </w:r>
    </w:p>
    <w:p>
      <w:r>
        <w:t xml:space="preserve">Figure 1. Risk-of-bias and methodological-quality summary across all </w:t>
      </w:r>
      <w:r>
        <w:rPr>
          <w:color w:val="C00000"/>
        </w:rPr>
        <w:t>15</w:t>
      </w:r>
      <w:r>
        <w:t xml:space="preserve"> included studies (Based on Cochrane RoB 2 for </w:t>
      </w:r>
      <w:r>
        <w:rPr>
          <w:color w:val="C00000"/>
        </w:rPr>
        <w:t>6</w:t>
      </w:r>
      <w:r>
        <w:t xml:space="preserve"> RCTs and Newcastle-Ottawa Scale for 9 cohort studies; see Table 2 for details) (A) Cochrane RoB 2 traffic-light plot (RCTs, n = </w:t>
      </w:r>
      <w:r>
        <w:rPr>
          <w:color w:val="C00000"/>
        </w:rPr>
        <w:t>6</w:t>
      </w:r>
      <w:r>
        <w:t xml:space="preserve">). Uses traffic-light colors (green/yellow/red) to display the risk-of-bias judgments across domains for each of the </w:t>
      </w:r>
      <w:r>
        <w:rPr>
          <w:color w:val="C00000"/>
        </w:rPr>
        <w:t>6</w:t>
      </w:r>
      <w: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r>
        <w:t xml:space="preserve">Figure 2. PRISMA 2020 Flow Diagram. </w:t>
      </w:r>
    </w:p>
    <w:p>
      <w: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r>
        <w:t>Figure 4.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(Refosco 2024; Desai 2018; Dachepally 2023; Paladini 2018) are reported in “Studies with major confounding” rather than in this forest plot.</w:t>
      </w:r>
    </w:p>
    <w:p>
      <w:r>
        <w:t xml:space="preserve">Figure 5. Forest plot: infiltration (USG vs landmark), </w:t>
      </w:r>
      <w:r>
        <w:rPr>
          <w:color w:val="C00000"/>
        </w:rPr>
        <w:t>k = 3 (2 RCTs + 1 cohort, all standard-PIVC). Random-effects pooled RR 1.30 (0.82–2.05; I² = 48.8%); the newly added Avelar 2015 trial reported higher infiltration with USG.</w:t>
      </w:r>
    </w:p>
    <w:p>
      <w:r>
        <w:rPr>
          <w:color w:val="C00000"/>
        </w:rPr>
        <w:t>Supplementary Figure 2</w:t>
      </w:r>
      <w:r>
        <w:t>. Individual study estimates (NOT pooled) for catheter survival / premature removal: Feinsmith 2021 (adjusted HR from multivariable Cox model, 30-day follow-up) and Shokoohi 2019 (cumulative-incidence RR at fixed 72-hour follow-up). The pooled diamond is intentionally suppressed because HR and cumulative-incidence RR are conceptually different effect measures and pooling them on the log-HR scale would mix incompatible quantities.</w:t>
      </w:r>
    </w:p>
    <w:p>
      <w:r>
        <w:rPr>
          <w:color w:val="C00000"/>
        </w:rPr>
        <w:t>Figure 6</w:t>
      </w:r>
      <w:r>
        <w:t>. Forest plot: catheter failure subgroup by age (adult vs pediatric, k = 4 same as Figure 2). The adult subgroup contains 2 cohorts + 1 conference abstract (Saltarelli 2015 dominates the adult weight); the pediatric subgroup contains a single RCT (Kleidon 2025). Subgroup-by-effect interaction not statistically significant (p = 0.32) and severely underpowered.</w:t>
      </w:r>
    </w:p>
    <w:p>
      <w:r>
        <w:rPr>
          <w:color w:val="C00000"/>
        </w:rPr>
        <w:t>Supplementary Figure 1. Forest plot: extravasation (USG vs landmark), not pooled (I² = 95.7%; Bridey 2018, Favot 2019, Nishizawa 2020). Presented as a supplementary figure because the populations and outcome definitions are statistically incompatible.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