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37EC0" w14:textId="0FAA4279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0" w:name="X12201634808c96827ef981f76fa44555a86bcbb"/>
      <w:r w:rsidRPr="00D440D8">
        <w:rPr>
          <w:rFonts w:ascii="Times New Roman" w:hAnsi="Times New Roman" w:cs="Times New Roman"/>
          <w:b/>
          <w:bCs/>
        </w:rPr>
        <w:t>Supplementary Material S</w:t>
      </w:r>
      <w:r w:rsidR="00942775">
        <w:rPr>
          <w:rFonts w:ascii="Times New Roman" w:hAnsi="Times New Roman" w:cs="Times New Roman"/>
          <w:b/>
          <w:bCs/>
        </w:rPr>
        <w:t>3</w:t>
      </w:r>
      <w:r w:rsidRPr="00D440D8">
        <w:rPr>
          <w:rFonts w:ascii="Times New Roman" w:hAnsi="Times New Roman" w:cs="Times New Roman"/>
          <w:b/>
          <w:bCs/>
        </w:rPr>
        <w:t>: List of Studies Excluded at Full-Text Stage with Reasons</w:t>
      </w:r>
    </w:p>
    <w:p w14:paraId="0092338B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1" w:name="X313b398c10fd63f9473a36532de7b24dabae152"/>
      <w:r w:rsidRPr="00D440D8">
        <w:rPr>
          <w:rFonts w:ascii="Times New Roman" w:hAnsi="Times New Roman" w:cs="Times New Roman"/>
          <w:b/>
          <w:bCs/>
          <w:color w:val="C00000"/>
        </w:rPr>
        <w:t>Studies excluded after full-text review (n = 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4"/>
        <w:gridCol w:w="1551"/>
        <w:gridCol w:w="4653"/>
        <w:gridCol w:w="1772"/>
      </w:tblGrid>
      <w:tr w:rsidR="008003BB" w:rsidRPr="008003BB" w14:paraId="789F4DED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03CFF9E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421" w:type="dxa"/>
          </w:tcPr>
          <w:p w14:paraId="5CB37C7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4264" w:type="dxa"/>
          </w:tcPr>
          <w:p w14:paraId="6CBAF39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Reason for Exclusion</w:t>
            </w:r>
          </w:p>
        </w:tc>
        <w:tc>
          <w:tcPr>
            <w:tcW w:w="1624" w:type="dxa"/>
          </w:tcPr>
          <w:p w14:paraId="5B2013A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Detail</w:t>
            </w:r>
          </w:p>
        </w:tc>
      </w:tr>
      <w:tr w:rsidR="008003BB" w:rsidRPr="008003BB" w14:paraId="1BE0BE41" w14:textId="77777777" w:rsidTr="00472CF5">
        <w:tc>
          <w:tcPr>
            <w:tcW w:w="609" w:type="dxa"/>
          </w:tcPr>
          <w:p w14:paraId="127D6FE4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1" w:type="dxa"/>
          </w:tcPr>
          <w:p w14:paraId="713A3BC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Malik A et al. (2023) “Outcomes of Ultrasound Guided Peripheral Intravenous Catheters Placed in the Emergency Department and Factors Associated with Survival.”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Open Access Emergency Medicine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6214BCE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Single-arm study, no comparator</w:t>
            </w:r>
          </w:p>
        </w:tc>
        <w:tc>
          <w:tcPr>
            <w:tcW w:w="1624" w:type="dxa"/>
          </w:tcPr>
          <w:p w14:paraId="509FC1F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Descriptive study of 388 USIV placements only; no landmark/palpation comparison group. Does not meet inclusion criterion #1.</w:t>
            </w:r>
          </w:p>
        </w:tc>
      </w:tr>
      <w:tr w:rsidR="008003BB" w:rsidRPr="008003BB" w14:paraId="1C52C27D" w14:textId="77777777" w:rsidTr="00472CF5">
        <w:tc>
          <w:tcPr>
            <w:tcW w:w="609" w:type="dxa"/>
          </w:tcPr>
          <w:p w14:paraId="17EF8CD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21" w:type="dxa"/>
          </w:tcPr>
          <w:p w14:paraId="5BFA198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Avelar AF et al. (2013) “Assertiveness and dwell times with USG in children.”</w:t>
            </w:r>
          </w:p>
        </w:tc>
        <w:tc>
          <w:tcPr>
            <w:tcW w:w="4264" w:type="dxa"/>
          </w:tcPr>
          <w:p w14:paraId="24B1FD3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  <w:color w:val="C00000"/>
              </w:rPr>
              <w:t>Non-English companion report</w:t>
            </w:r>
          </w:p>
        </w:tc>
        <w:tc>
          <w:tcPr>
            <w:tcW w:w="1624" w:type="dxa"/>
          </w:tcPr>
          <w:p w14:paraId="5B4C61D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  <w:color w:val="C00000"/>
              </w:rPr>
              <w:t>Portuguese-language companion report of the same trial (NCT00930254) now included via its English 2015 report (Avelar 2015 [5]); excluded only as a non-English duplicate report, handled identically to the duplicate Kleidon/EPIC reports below.</w:t>
            </w:r>
          </w:p>
        </w:tc>
      </w:tr>
      <w:tr w:rsidR="008003BB" w:rsidRPr="008003BB" w14:paraId="39FBC4DA" w14:textId="77777777" w:rsidTr="00472CF5">
        <w:tc>
          <w:tcPr>
            <w:tcW w:w="609" w:type="dxa"/>
          </w:tcPr>
          <w:p w14:paraId="2DFBE42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21" w:type="dxa"/>
          </w:tcPr>
          <w:p w14:paraId="336D064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Unpublished manuscript — “Effectiveness of Ultrasound-Guided Versus Traditional IV Insertion by Oncology Nurses in Adult Population Receiving </w:t>
            </w:r>
            <w:r w:rsidRPr="008003BB">
              <w:rPr>
                <w:rFonts w:ascii="Times New Roman" w:hAnsi="Times New Roman" w:cs="Times New Roman"/>
              </w:rPr>
              <w:lastRenderedPageBreak/>
              <w:t>Systemic Anti-</w:t>
            </w:r>
            <w:proofErr w:type="gramStart"/>
            <w:r w:rsidRPr="008003BB">
              <w:rPr>
                <w:rFonts w:ascii="Times New Roman" w:hAnsi="Times New Roman" w:cs="Times New Roman"/>
              </w:rPr>
              <w:t>cancer</w:t>
            </w:r>
            <w:proofErr w:type="gramEnd"/>
            <w:r w:rsidRPr="008003BB">
              <w:rPr>
                <w:rFonts w:ascii="Times New Roman" w:hAnsi="Times New Roman" w:cs="Times New Roman"/>
              </w:rPr>
              <w:t xml:space="preserve"> Therapy”</w:t>
            </w:r>
          </w:p>
        </w:tc>
        <w:tc>
          <w:tcPr>
            <w:tcW w:w="4264" w:type="dxa"/>
          </w:tcPr>
          <w:p w14:paraId="7896EEF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lastRenderedPageBreak/>
              <w:t>Not published</w:t>
            </w:r>
          </w:p>
        </w:tc>
        <w:tc>
          <w:tcPr>
            <w:tcW w:w="1624" w:type="dxa"/>
          </w:tcPr>
          <w:p w14:paraId="515B634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Manuscript not published at time of search.</w:t>
            </w:r>
          </w:p>
        </w:tc>
      </w:tr>
      <w:tr w:rsidR="008003BB" w:rsidRPr="008003BB" w14:paraId="19873EE0" w14:textId="77777777" w:rsidTr="00D440D8">
        <w:tc>
          <w:tcPr>
            <w:tcW w:w="609" w:type="dxa"/>
          </w:tcPr>
          <w:p w14:paraId="383F21B6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  <w:color w:val="C00000"/>
              </w:rPr>
              <w:t>4</w:t>
            </w:r>
          </w:p>
        </w:tc>
        <w:tc>
          <w:tcPr>
            <w:tcW w:w="1421" w:type="dxa"/>
          </w:tcPr>
          <w:p w14:paraId="68FD0F1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Kleidon TM et al. (2023) “Ultrasound-guided PIVC insertion: a randomised controlled trial protocol.”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British Journal of Nursing</w:t>
            </w:r>
            <w:r w:rsidRPr="008003B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264" w:type="dxa"/>
          </w:tcPr>
          <w:p w14:paraId="4F38EC9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Protocol only, no results</w:t>
            </w:r>
          </w:p>
        </w:tc>
        <w:tc>
          <w:tcPr>
            <w:tcW w:w="1624" w:type="dxa"/>
          </w:tcPr>
          <w:p w14:paraId="55D9A47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Protocol paper for the EPIC trial; same trial as Kleidon 2025 (JAMA Pediatrics). No post-insertion outcome data reported.</w:t>
            </w:r>
          </w:p>
        </w:tc>
      </w:tr>
    </w:tbl>
    <w:p>
      <w:r>
        <w:rPr>
          <w:color w:val="C00000"/>
        </w:rPr>
        <w:t>Note: Two records initially flagged by a single reviewer — the ICU-nurses trial registration (ClinicalTrials.gov NCT03745209) and the Kleidon et al. conference abstract (Journal of Vascular Access, 2022, an overlapping report of the EPIC trial) — were adjudicated out at the title/abstract screening stage and are therefore counted among the title/abstract exclusions (within the 1,340), not the full-text exclusions.</w:t>
      </w:r>
    </w:p>
    <w:p w14:paraId="5B15F4DA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2" w:name="Xf96e9f1c5c6aca712706c6adcc2b639f1b4c5a6"/>
      <w:bookmarkEnd w:id="1"/>
      <w:r w:rsidRPr="00D440D8">
        <w:rPr>
          <w:rFonts w:ascii="Times New Roman" w:hAnsi="Times New Roman" w:cs="Times New Roman"/>
          <w:b/>
          <w:bCs/>
        </w:rPr>
        <w:t>Full-text articles retrieved and included (previously not retrieved)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8003BB" w:rsidRPr="008003BB" w14:paraId="6462B04A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745F3BF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048D4F3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3C25105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74F133F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Status</w:t>
            </w:r>
          </w:p>
        </w:tc>
      </w:tr>
      <w:tr w:rsidR="008003BB" w:rsidRPr="008003BB" w14:paraId="4DFF65A5" w14:textId="77777777" w:rsidTr="00D440D8">
        <w:tc>
          <w:tcPr>
            <w:tcW w:w="819" w:type="dxa"/>
          </w:tcPr>
          <w:p w14:paraId="3911FDF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0247F87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Refosco M et al. (2024) — USG deep veins vs blind superficial veins in children 0-18y</w:t>
            </w:r>
          </w:p>
        </w:tc>
        <w:tc>
          <w:tcPr>
            <w:tcW w:w="3004" w:type="dxa"/>
          </w:tcPr>
          <w:p w14:paraId="1E12E47D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486160202</w:t>
            </w:r>
          </w:p>
        </w:tc>
        <w:tc>
          <w:tcPr>
            <w:tcW w:w="2184" w:type="dxa"/>
          </w:tcPr>
          <w:p w14:paraId="55D4564B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and included (confounded by catheter type)</w:t>
            </w:r>
          </w:p>
        </w:tc>
      </w:tr>
      <w:tr w:rsidR="008003BB" w:rsidRPr="008003BB" w14:paraId="0075A4B3" w14:textId="77777777" w:rsidTr="00D440D8">
        <w:tc>
          <w:tcPr>
            <w:tcW w:w="819" w:type="dxa"/>
            <w:tcBorders>
              <w:bottom w:val="single" w:sz="4" w:space="0" w:color="auto"/>
            </w:tcBorders>
          </w:tcPr>
          <w:p w14:paraId="59EB4215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315302F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Cottrell JT et al. (2021) — USG increases catheter dwell time in children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58A651D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486160348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7F9E8C34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and included</w:t>
            </w:r>
          </w:p>
        </w:tc>
      </w:tr>
    </w:tbl>
    <w:p w14:paraId="3C3C199B" w14:textId="77777777" w:rsidR="008003BB" w:rsidRPr="00D440D8" w:rsidRDefault="008003BB" w:rsidP="008003BB">
      <w:pPr>
        <w:rPr>
          <w:rFonts w:ascii="Times New Roman" w:hAnsi="Times New Roman" w:cs="Times New Roman"/>
          <w:b/>
          <w:bCs/>
        </w:rPr>
      </w:pPr>
      <w:bookmarkStart w:id="3" w:name="X1a6c23beace003bc54b436f552c9b37dc2655f4"/>
      <w:bookmarkEnd w:id="2"/>
      <w:r w:rsidRPr="00D440D8">
        <w:rPr>
          <w:rFonts w:ascii="Times New Roman" w:hAnsi="Times New Roman" w:cs="Times New Roman"/>
          <w:b/>
          <w:bCs/>
        </w:rPr>
        <w:t>Full-text articles retrieved after initial search (subsequently included)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94"/>
        <w:gridCol w:w="2085"/>
        <w:gridCol w:w="3278"/>
        <w:gridCol w:w="2383"/>
      </w:tblGrid>
      <w:tr w:rsidR="008003BB" w:rsidRPr="008003BB" w14:paraId="1CF60694" w14:textId="77777777" w:rsidTr="00472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68AF1A16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911" w:type="dxa"/>
          </w:tcPr>
          <w:p w14:paraId="2088ADF0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Study</w:t>
            </w:r>
          </w:p>
        </w:tc>
        <w:tc>
          <w:tcPr>
            <w:tcW w:w="3004" w:type="dxa"/>
          </w:tcPr>
          <w:p w14:paraId="368591E7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Rayyan ID</w:t>
            </w:r>
          </w:p>
        </w:tc>
        <w:tc>
          <w:tcPr>
            <w:tcW w:w="2184" w:type="dxa"/>
          </w:tcPr>
          <w:p w14:paraId="3D3B09D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Status</w:t>
            </w:r>
          </w:p>
        </w:tc>
      </w:tr>
      <w:tr w:rsidR="008003BB" w:rsidRPr="008003BB" w14:paraId="4B27D334" w14:textId="77777777" w:rsidTr="008003BB">
        <w:tc>
          <w:tcPr>
            <w:tcW w:w="819" w:type="dxa"/>
          </w:tcPr>
          <w:p w14:paraId="2567247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1" w:type="dxa"/>
          </w:tcPr>
          <w:p w14:paraId="00EE0A9A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Desai K et al. (2018) — Longevity and Complication Rates of Ultrasound Guided vs Traditional PIVC in a Paediatric ED.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JAVA</w:t>
            </w:r>
            <w:r w:rsidRPr="008003BB">
              <w:rPr>
                <w:rFonts w:ascii="Times New Roman" w:hAnsi="Times New Roman" w:cs="Times New Roman"/>
              </w:rPr>
              <w:t xml:space="preserve"> 23(3):149-154.</w:t>
            </w:r>
          </w:p>
        </w:tc>
        <w:tc>
          <w:tcPr>
            <w:tcW w:w="3004" w:type="dxa"/>
          </w:tcPr>
          <w:p w14:paraId="4719599C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486161209</w:t>
            </w:r>
          </w:p>
        </w:tc>
        <w:tc>
          <w:tcPr>
            <w:tcW w:w="2184" w:type="dxa"/>
          </w:tcPr>
          <w:p w14:paraId="328FA132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April 2026 via interlibrary loan; included (classified as catheter-length confounded; excluded from primary pooling, retained in narrative synthesis)</w:t>
            </w:r>
          </w:p>
        </w:tc>
      </w:tr>
      <w:tr w:rsidR="008003BB" w:rsidRPr="008003BB" w14:paraId="6FC09D2C" w14:textId="77777777" w:rsidTr="008003BB">
        <w:tc>
          <w:tcPr>
            <w:tcW w:w="819" w:type="dxa"/>
            <w:tcBorders>
              <w:bottom w:val="single" w:sz="4" w:space="0" w:color="auto"/>
            </w:tcBorders>
          </w:tcPr>
          <w:p w14:paraId="51DE5C23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5A819A48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 xml:space="preserve">Nishizawa T et al. (2020) — Nurse-Performed Ultrasound-Guided Technique for Difficult Peripheral IV Access in Critically Ill Patients. </w:t>
            </w:r>
            <w:r w:rsidRPr="008003BB">
              <w:rPr>
                <w:rFonts w:ascii="Times New Roman" w:hAnsi="Times New Roman" w:cs="Times New Roman"/>
                <w:i/>
                <w:iCs/>
              </w:rPr>
              <w:t>JAVA</w:t>
            </w:r>
            <w:r w:rsidRPr="008003BB">
              <w:rPr>
                <w:rFonts w:ascii="Times New Roman" w:hAnsi="Times New Roman" w:cs="Times New Roman"/>
              </w:rPr>
              <w:t xml:space="preserve"> 25(2):34-39.</w:t>
            </w:r>
          </w:p>
        </w:tc>
        <w:tc>
          <w:tcPr>
            <w:tcW w:w="3004" w:type="dxa"/>
            <w:tcBorders>
              <w:bottom w:val="single" w:sz="4" w:space="0" w:color="auto"/>
            </w:tcBorders>
          </w:tcPr>
          <w:p w14:paraId="3908A7C1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486161498</w:t>
            </w:r>
          </w:p>
        </w:tc>
        <w:tc>
          <w:tcPr>
            <w:tcW w:w="2184" w:type="dxa"/>
            <w:tcBorders>
              <w:bottom w:val="single" w:sz="4" w:space="0" w:color="auto"/>
            </w:tcBorders>
          </w:tcPr>
          <w:p w14:paraId="1C186AA9" w14:textId="77777777" w:rsidR="008003BB" w:rsidRPr="008003BB" w:rsidRDefault="008003BB" w:rsidP="00472CF5">
            <w:pPr>
              <w:pStyle w:val="Compact"/>
              <w:rPr>
                <w:rFonts w:ascii="Times New Roman" w:hAnsi="Times New Roman" w:cs="Times New Roman"/>
              </w:rPr>
            </w:pPr>
            <w:r w:rsidRPr="008003BB">
              <w:rPr>
                <w:rFonts w:ascii="Times New Roman" w:hAnsi="Times New Roman" w:cs="Times New Roman"/>
              </w:rPr>
              <w:t>Retrieved April 2026 via interlibrary loan; included (5th RCT; extravasation data contributed to narrative synthesis)</w:t>
            </w:r>
          </w:p>
        </w:tc>
      </w:tr>
      <w:bookmarkEnd w:id="0"/>
      <w:bookmarkEnd w:id="3"/>
    </w:tbl>
    <w:p w14:paraId="4B5AA1A3" w14:textId="77777777" w:rsidR="008003BB" w:rsidRDefault="008003BB" w:rsidP="008003BB"/>
    <w:p w14:paraId="28599172" w14:textId="77777777" w:rsidR="00DD2D9A" w:rsidRDefault="00DD2D9A"/>
    <w:sectPr w:rsidR="00DD2D9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savePreviewPicture/>
  <w:footnotePr>
    <w:numRestart w:val="eachSec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02"/>
    <w:rsid w:val="002B5502"/>
    <w:rsid w:val="008003BB"/>
    <w:rsid w:val="00942775"/>
    <w:rsid w:val="00D440D8"/>
    <w:rsid w:val="00DD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2689"/>
  <w15:chartTrackingRefBased/>
  <w15:docId w15:val="{1BCB4BC5-3E7D-4EA0-A945-2563470E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3BB"/>
    <w:pPr>
      <w:spacing w:after="200"/>
    </w:pPr>
    <w:rPr>
      <w:kern w:val="0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800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00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character" w:customStyle="1" w:styleId="20">
    <w:name w:val="標題 2 字元"/>
    <w:basedOn w:val="a1"/>
    <w:link w:val="2"/>
    <w:uiPriority w:val="9"/>
    <w:semiHidden/>
    <w:rsid w:val="008003B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customStyle="1" w:styleId="Compact">
    <w:name w:val="Compact"/>
    <w:basedOn w:val="a0"/>
    <w:qFormat/>
    <w:rsid w:val="008003BB"/>
    <w:pPr>
      <w:spacing w:before="36" w:after="36"/>
    </w:pPr>
  </w:style>
  <w:style w:type="table" w:customStyle="1" w:styleId="Table">
    <w:name w:val="Table"/>
    <w:semiHidden/>
    <w:unhideWhenUsed/>
    <w:qFormat/>
    <w:rsid w:val="008003BB"/>
    <w:pPr>
      <w:spacing w:after="200"/>
    </w:pPr>
    <w:rPr>
      <w:kern w:val="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4"/>
    <w:uiPriority w:val="99"/>
    <w:semiHidden/>
    <w:unhideWhenUsed/>
    <w:rsid w:val="008003BB"/>
    <w:pPr>
      <w:spacing w:after="120"/>
    </w:pPr>
  </w:style>
  <w:style w:type="character" w:customStyle="1" w:styleId="a4">
    <w:name w:val="本文 字元"/>
    <w:basedOn w:val="a1"/>
    <w:link w:val="a0"/>
    <w:uiPriority w:val="99"/>
    <w:semiHidden/>
    <w:rsid w:val="008003BB"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4</cp:revision>
  <dcterms:created xsi:type="dcterms:W3CDTF">2026-05-05T08:56:00Z</dcterms:created>
  <dcterms:modified xsi:type="dcterms:W3CDTF">2026-05-05T08:59:00Z</dcterms:modified>
</cp:coreProperties>
</file>