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633508687864139383e66ce7b0cd4f67c5b99b"/>
    <w:p>
      <w:pPr>
        <w:pStyle w:val="Heading1"/>
      </w:pPr>
      <w:r>
        <w:t xml:space="preserve">Post-insertion outcomes of ultrasound-guided versus landmark peripheral intravenous catheters: a systematic review and meta-analysis</w:t>
      </w:r>
    </w:p>
    <w:p>
      <w:pPr>
        <w:pStyle w:val="FirstParagraph"/>
      </w:pPr>
      <w:r>
        <w:t xml:space="preserve">Tai-An Lee, MD</w:t>
      </w:r>
      <w:r>
        <w:rPr>
          <w:vertAlign w:val="superscript"/>
        </w:rPr>
        <w:t xml:space="preserve">1,†</w:t>
      </w:r>
      <w:r>
        <w:t xml:space="preserve">; Yu-Ling Wang</w:t>
      </w:r>
      <w:r>
        <w:rPr>
          <w:vertAlign w:val="superscript"/>
        </w:rPr>
        <w:t xml:space="preserve">2,†</w:t>
      </w:r>
      <w:r>
        <w:t xml:space="preserve">; Jen-Tao Wang</w:t>
      </w:r>
      <w:r>
        <w:rPr>
          <w:vertAlign w:val="superscript"/>
        </w:rPr>
        <w:t xml:space="preserve">3</w:t>
      </w:r>
      <w:r>
        <w:t xml:space="preserve">; Chia-Ching Chen, MD^4,*^</w:t>
      </w:r>
    </w:p>
    <w:p>
      <w:pPr>
        <w:pStyle w:val="BodyText"/>
      </w:pPr>
      <w:r>
        <w:rPr>
          <w:vertAlign w:val="superscript"/>
        </w:rPr>
        <w:t xml:space="preserve">†</w:t>
      </w:r>
      <w:r>
        <w:t xml:space="preserve">These authors contributed equally to this work.</w:t>
      </w:r>
      <w:r>
        <w:t xml:space="preserve"> </w:t>
      </w:r>
      <w:r>
        <w:t xml:space="preserve">^*^Corresponding author</w:t>
      </w:r>
    </w:p>
    <w:p>
      <w:pPr>
        <w:pStyle w:val="BodyText"/>
      </w:pPr>
      <w:r>
        <w:t xml:space="preserve">PROSPERO Registration: CRD420261354170</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Ultrasound-guided (USG) peripheral intravenous catheter (PIVC) insertion has been widely adopted to improve first-attempt success rates, particularly in patients with difficult intravenous access (DIVA). However, whether USG confers any benefit on post-insertion outcomes such as catheter failure, dwell time, and complications remains unclear. We conducted a systematic review and meta-analysis to evaluate post-insertion outcomes of USG versus landmark-guided PIVC placement.</w:t>
      </w:r>
    </w:p>
    <w:p>
      <w:pPr>
        <w:pStyle w:val="BodyText"/>
      </w:pPr>
      <w:r>
        <w:rPr>
          <w:b/>
          <w:bCs/>
        </w:rPr>
        <w:t xml:space="preserve">Methods:</w:t>
      </w:r>
      <w:r>
        <w:t xml:space="preserve"> </w:t>
      </w:r>
      <w:r>
        <w:t xml:space="preserve">We searched PubMed, Embase, Cochrane CENTRAL, and CINAHL from January 2000 to March 2026 for RCTs and comparative cohort studies comparing USG with landmark PIVC insertion and reporting at least one post-insertion outcome. Two reviewers screened in duplicate (95.8% agreement; Cohen’s κ = 0.330) with pre-specified second-pass adjudication of single-reviewer-include records. Risk of bias used RoB 2 (RCTs) and Newcastle-Ottawa (cohorts). Random-effects meta-analysis used DerSimonian-Laird as primary estimator; REML+HKSJ was a</w:t>
      </w:r>
      <w:r>
        <w:t xml:space="preserve"> </w:t>
      </w:r>
      <w:r>
        <w:rPr>
          <w:i/>
          <w:iCs/>
        </w:rPr>
        <w:t xml:space="preserve">post-hoc</w:t>
      </w:r>
      <w:r>
        <w:t xml:space="preserve"> </w:t>
      </w:r>
      <w:r>
        <w:t xml:space="preserve">sensitivity analysis given small per-outcome k.</w:t>
      </w:r>
    </w:p>
    <w:p>
      <w:pPr>
        <w:pStyle w:val="BodyText"/>
      </w:pPr>
      <w:r>
        <w:rPr>
          <w:b/>
          <w:bCs/>
        </w:rPr>
        <w:t xml:space="preserve">Results:</w:t>
      </w:r>
      <w:r>
        <w:t xml:space="preserve"> </w:t>
      </w:r>
      <w:r>
        <w:t xml:space="preserve">Fourteen studies (5 RCTs, 9 cohorts; 78,209 participants) were included. Catheter failure did not differ significantly between USG and landmark groups (k = 4; RR 1.23, 95% CI 0.99–1.51; p = 0.056); the result was sensitive to estimator choice and to single-study exclusion in post-hoc sensitivity analyses. Dwell time and extravasation could not be pooled due to substantial heterogeneity (I² = 91.9% and 95.7%, respectively) and were reported narratively. Infiltration showed no difference (k = 2; RR 0.68, 0.12–3.83). Four studies reporting favourable USG results were confounded by systematic differences in catheter length/type.</w:t>
      </w:r>
    </w:p>
    <w:p>
      <w:pPr>
        <w:pStyle w:val="BodyText"/>
      </w:pPr>
      <w:r>
        <w:rPr>
          <w:b/>
          <w:bCs/>
        </w:rPr>
        <w:t xml:space="preserve">Conclusions:</w:t>
      </w:r>
      <w:r>
        <w:t xml:space="preserve"> </w:t>
      </w:r>
      <w:r>
        <w:t xml:space="preserve">Current evidence does not demonstrate a consistent post-insertion advantage of USG over landmark PIVC placement, although a clinically meaningful effect cannot be excluded with the small evidence base. Observed dwell-time advantages in several studies appear at least partially attributable to differences in catheter length and material rather than to ultrasound guidance per se. Adequately powered RCTs that control for catheter specifications are needed before this question can be considered settled.</w:t>
      </w:r>
    </w:p>
    <w:p>
      <w:pPr>
        <w:pStyle w:val="BodyText"/>
      </w:pPr>
      <w:r>
        <w:rPr>
          <w:b/>
          <w:bCs/>
        </w:rPr>
        <w:t xml:space="preserve">Keywords:</w:t>
      </w:r>
      <w:r>
        <w:t xml:space="preserve"> </w:t>
      </w:r>
      <w:r>
        <w:t xml:space="preserve">peripheral intravenous catheter, ultrasound-guided, landmark, difficult intravenous access (DIVA), catheter failure, dwell time, extravasation, systematic review, meta-analysis</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Peripheral intravenous catheter (PIVC) insertion is the most commonly performed invasive procedure in hospitals worldwide, with an estimated one billion catheters placed annually across the globe.</w:t>
      </w:r>
      <w:r>
        <w:rPr>
          <w:vertAlign w:val="superscript"/>
        </w:rPr>
        <w:t xml:space="preserve">1</w:t>
      </w:r>
      <w:r>
        <w:t xml:space="preserve"> </w:t>
      </w:r>
      <w:r>
        <w:t xml:space="preserve">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w:t>
      </w:r>
      <w:r>
        <w:rPr>
          <w:vertAlign w:val="superscript"/>
        </w:rPr>
        <w:t xml:space="preserve">2,3</w:t>
      </w:r>
    </w:p>
    <w:p>
      <w:pPr>
        <w:pStyle w:val="BodyText"/>
      </w:pPr>
      <w:r>
        <w:t xml:space="preserve">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w:t>
      </w:r>
      <w:r>
        <w:rPr>
          <w:vertAlign w:val="superscript"/>
        </w:rPr>
        <w:t xml:space="preserve">4-6</w:t>
      </w:r>
      <w:r>
        <w:t xml:space="preserve"> </w:t>
      </w:r>
      <w:r>
        <w:t xml:space="preserve">However, successful insertion of a PIVC represents only the beginning of the device’s clinical lifecycle. Post-insertion outcomes – including catheter dwell time, catheter failure, phlebitis, infiltration, extravasation, occlusion, dislodgement, and catheter-related infection – are arguably of equal or greater clinical importance, as they determine the functional utility of the catheter and the need for replacement procedures.</w:t>
      </w:r>
    </w:p>
    <w:p>
      <w:pPr>
        <w:pStyle w:val="BodyText"/>
      </w:pPr>
      <w:r>
        <w:t xml:space="preserve">Despite the clinical relevance of post-insertion outcomes, no prior systematic review has specifically synthesised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w:t>
      </w:r>
      <w:r>
        <w:rPr>
          <w:vertAlign w:val="superscript"/>
        </w:rPr>
        <w:t xml:space="preserve">7,8</w:t>
      </w:r>
    </w:p>
    <w:p>
      <w:pPr>
        <w:pStyle w:val="BodyText"/>
      </w:pPr>
      <w: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We hypothesised that USG insertion would not confer a significant advantage in post-insertion catheter performance compared with landmark placement.</w:t>
      </w:r>
    </w:p>
    <w:p>
      <w:r>
        <w:pict>
          <v:rect style="width:0;height:1.5pt" o:hralign="center" o:hrstd="t" o:hr="t"/>
        </w:pict>
      </w:r>
    </w:p>
    <w:bookmarkEnd w:id="10"/>
    <w:bookmarkStart w:id="17" w:name="methods"/>
    <w:p>
      <w:pPr>
        <w:pStyle w:val="Heading2"/>
      </w:pPr>
      <w:r>
        <w:t xml:space="preserve">METHODS</w:t>
      </w:r>
    </w:p>
    <w:p>
      <w:pPr>
        <w:pStyle w:val="FirstParagraph"/>
      </w:pPr>
      <w:r>
        <w:t xml:space="preserve">This systematic review and meta-analysis was conducted in accordance with the Preferred Reporting Items for Systematic Reviews and Meta-Analyses (PRISMA) 2020 guidelines and was prospectively registered in PROSPERO (CRD420261354170).</w:t>
      </w:r>
    </w:p>
    <w:bookmarkStart w:id="11" w:name="search-strategy"/>
    <w:p>
      <w:pPr>
        <w:pStyle w:val="Heading3"/>
      </w:pPr>
      <w:r>
        <w:t xml:space="preserve">Search Strategy</w:t>
      </w:r>
    </w:p>
    <w:p>
      <w:pPr>
        <w:pStyle w:val="FirstParagraph"/>
      </w:pPr>
      <w:r>
        <w:t xml:space="preserve">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catheterisation (e.g.,</w:t>
      </w:r>
      <w:r>
        <w:t xml:space="preserve"> </w:t>
      </w:r>
      <w:r>
        <w:t xml:space="preserve">“peripheral venous catheter,”</w:t>
      </w:r>
      <w:r>
        <w:t xml:space="preserve"> </w:t>
      </w:r>
      <w:r>
        <w:t xml:space="preserve">“intravenous cannulation,”</w:t>
      </w:r>
      <w:r>
        <w:t xml:space="preserve"> </w:t>
      </w:r>
      <w:r>
        <w:t xml:space="preserve">“PIVC”</w:t>
      </w:r>
      <w:r>
        <w:t xml:space="preserve">); (2) ultrasound guidance (e.g.,</w:t>
      </w:r>
      <w:r>
        <w:t xml:space="preserve"> </w:t>
      </w:r>
      <w:r>
        <w:t xml:space="preserve">“ultrasonography,”</w:t>
      </w:r>
      <w:r>
        <w:t xml:space="preserve"> </w:t>
      </w:r>
      <w:r>
        <w:t xml:space="preserve">“ultrasound-guided,”</w:t>
      </w:r>
      <w:r>
        <w:t xml:space="preserve"> </w:t>
      </w:r>
      <w:r>
        <w:t xml:space="preserve">“echography”</w:t>
      </w:r>
      <w:r>
        <w:t xml:space="preserve">); and (3) post-insertion outcomes (e.g.,</w:t>
      </w:r>
      <w:r>
        <w:t xml:space="preserve"> </w:t>
      </w:r>
      <w:r>
        <w:t xml:space="preserve">“catheter failure,”</w:t>
      </w:r>
      <w:r>
        <w:t xml:space="preserve"> </w:t>
      </w:r>
      <w:r>
        <w:t xml:space="preserve">“dwell time,”</w:t>
      </w:r>
      <w:r>
        <w:t xml:space="preserve"> </w:t>
      </w:r>
      <w:r>
        <w:t xml:space="preserve">“phlebitis,”</w:t>
      </w:r>
      <w:r>
        <w:t xml:space="preserve"> </w:t>
      </w:r>
      <w:r>
        <w:t xml:space="preserve">“infiltration,”</w:t>
      </w:r>
      <w:r>
        <w:t xml:space="preserve"> </w:t>
      </w:r>
      <w:r>
        <w:t xml:space="preserve">“extravasation,”</w:t>
      </w:r>
      <w:r>
        <w:t xml:space="preserve"> </w:t>
      </w:r>
      <w:r>
        <w:t xml:space="preserve">“complications”</w:t>
      </w:r>
      <w:r>
        <w:t xml:space="preserve">). Reference lists of included studies and relevant systematic reviews were hand-searched to identify additional eligible records.</w:t>
      </w:r>
    </w:p>
    <w:bookmarkEnd w:id="11"/>
    <w:bookmarkStart w:id="12" w:name="study-selection"/>
    <w:p>
      <w:pPr>
        <w:pStyle w:val="Heading3"/>
      </w:pPr>
      <w:r>
        <w:t xml:space="preserve">Study Selection</w:t>
      </w:r>
    </w:p>
    <w:p>
      <w:pPr>
        <w:pStyle w:val="FirstParagraph"/>
      </w:pPr>
      <w:r>
        <w:t xml:space="preserve">After removal of 273 duplicates, 1,359 unique records underwent title and abstract screening by two reviewers (C.C.C. and M.W.) 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pPr>
        <w:pStyle w:val="BodyText"/>
      </w:pPr>
      <w:r>
        <w:t xml:space="preserve">All 19 records advancing to full-text consideration were retrieved and screened. After full-text review and consensus discussion, 14 studies met all inclusion criteria and were included in the final analysis. Five reports were excluded at the full-text stage: (1) Malik et al. — single-arm study without a comparator group; (2–3) two Avelar et al. reports — Portuguese-language full text not available with reliable translation; (4) one oncology-nurses report — unpublished at time of search; (5) Kleidon et al. (J Vasc Access, 2022) — duplicate report of the primary EPIC trial publication (Kleidon et al., JAMA Pediatrics, 2025), and Kleidon et al. (BJN, 2023) — trial-protocol-only publication of the same EPIC trial without post-insertion outcome data, both of which were excluded as overlapping reports of the single included EPIC primary publication. Two studies (Desai et al., 2018; Nishizawa et al., 2020) were not available through initial institutional access but were subsequently retrieved via interlibrary loan and included in the final analysis (see Supplementary Material S2).</w:t>
      </w:r>
    </w:p>
    <w:bookmarkEnd w:id="12"/>
    <w:bookmarkStart w:id="13" w:name="eligibility-criteria"/>
    <w:p>
      <w:pPr>
        <w:pStyle w:val="Heading3"/>
      </w:pPr>
      <w:r>
        <w:t xml:space="preserve">Eligibility Criteria</w:t>
      </w:r>
    </w:p>
    <w:p>
      <w:pPr>
        <w:pStyle w:val="FirstParagraph"/>
      </w:pPr>
      <w:r>
        <w:t xml:space="preserve">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randomised controlled trial (RCT) or comparative cohort design; (4) enrolled human participants; and (5) were published in English between 2000 and 2026.</w:t>
      </w:r>
    </w:p>
    <w:bookmarkEnd w:id="13"/>
    <w:bookmarkStart w:id="14" w:name="data-extraction"/>
    <w:p>
      <w:pPr>
        <w:pStyle w:val="Heading3"/>
      </w:pPr>
      <w:r>
        <w:t xml:space="preserve">Data Extraction</w:t>
      </w:r>
    </w:p>
    <w:p>
      <w:pPr>
        <w:pStyle w:val="FirstParagraph"/>
      </w:pPr>
      <w:r>
        <w:t xml:space="preserve">Data were extracted independently by two reviewers using a standardised form. Extracted variables included: study design, country, setting, sample size by group, participant age and population characteristics (adult vs. paediatric),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bookmarkEnd w:id="14"/>
    <w:bookmarkStart w:id="15" w:name="risk-of-bias-assessment"/>
    <w:p>
      <w:pPr>
        <w:pStyle w:val="Heading3"/>
      </w:pPr>
      <w:r>
        <w:t xml:space="preserve">Risk of Bias Assessment</w:t>
      </w:r>
    </w:p>
    <w:p>
      <w:pPr>
        <w:pStyle w:val="FirstParagraph"/>
      </w:pPr>
      <w:r>
        <w:t xml:space="preserve">Risk of bias for RCTs was assessed using the Cochrane Risk of Bias 2 (RoB 2) tool across five domains: randomisation process, deviations from intended interventions, missing outcome data, measurement of the outcome, and selection of the reported result. Each RCT was classified as low risk, some concerns, or high risk of bias. Observational studies were evaluated using the Newcastle-Ottawa Scale (NOS), with scores ranging from 0 to 9 stars across three domains: selection, comparability, and outcome.</w:t>
      </w:r>
    </w:p>
    <w:bookmarkEnd w:id="15"/>
    <w:bookmarkStart w:id="16" w:name="statistical-analysis"/>
    <w:p>
      <w:pPr>
        <w:pStyle w:val="Heading3"/>
      </w:pPr>
      <w:r>
        <w:t xml:space="preserve">Statistical Analysis</w:t>
      </w:r>
    </w:p>
    <w:p>
      <w:pPr>
        <w:pStyle w:val="FirstParagraph"/>
      </w:pPr>
      <w:r>
        <w:t xml:space="preserve">Random-effects meta-analyses were conducted using the DerSimonian-Laird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I</w:t>
      </w:r>
      <w:r>
        <w:rPr>
          <w:vertAlign w:val="superscript"/>
        </w:rPr>
        <w:t xml:space="preserve">2</w:t>
      </w:r>
      <w:r>
        <w:t xml:space="preserve"> </w:t>
      </w:r>
      <w:r>
        <w:t xml:space="preserve">statistic, with values of 25%, 50%, and 75% representing low, moderate, and high heterogeneity, respectively. Outcomes with I</w:t>
      </w:r>
      <w:r>
        <w:rPr>
          <w:vertAlign w:val="superscript"/>
        </w:rPr>
        <w:t xml:space="preserve">2</w:t>
      </w:r>
      <w:r>
        <w:t xml:space="preserve"> </w:t>
      </w:r>
      <w:r>
        <w:t xml:space="preserve">exceeding 75% were not pooled and were described narratively.</w:t>
      </w:r>
    </w:p>
    <w:p>
      <w:pPr>
        <w:pStyle w:val="BodyText"/>
      </w:pPr>
      <w:r>
        <w:t xml:space="preserve">Prespecified subgroup analyses were conducted by age group (adult vs. paediatric)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pPr>
        <w:pStyle w:val="BodyText"/>
      </w:pPr>
      <w:r>
        <w:t xml:space="preserve">All analyses were performed using R (version 4.x) with the meta and metafor packages. A two-sided p-value &lt; 0.05 was considered statistically significant.</w:t>
      </w:r>
    </w:p>
    <w:p>
      <w:pPr>
        <w:pStyle w:val="BodyText"/>
      </w:pPr>
      <w:r>
        <w:t xml:space="preserve">The DerSimonian-Laird estimator was the pre-specified primary approach in our PROSPERO protocol, reflecting standard practice in systematic reviews at the time of registration. After the initial analytic run, we recognised that with only 2–4 studies contributing to each outcome, DL standard errors are known to be anti-conservative and the resulting confidence intervals can be narrower than warranted.</w:t>
      </w:r>
      <w:r>
        <w:rPr>
          <w:vertAlign w:val="superscript"/>
        </w:rPr>
        <w:t xml:space="preserve">15</w:t>
      </w:r>
      <w:r>
        <w:t xml:space="preserve"> </w:t>
      </w:r>
      <w:r>
        <w:t xml:space="preserve">We therefore added a</w:t>
      </w:r>
      <w:r>
        <w:t xml:space="preserve"> </w:t>
      </w:r>
      <w:r>
        <w:rPr>
          <w:i/>
          <w:iCs/>
        </w:rPr>
        <w:t xml:space="preserve">post-hoc</w:t>
      </w:r>
      <w:r>
        <w:t xml:space="preserve"> </w:t>
      </w:r>
      <w:r>
        <w:t xml:space="preserve">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r>
        <w:pict>
          <v:rect style="width:0;height:1.5pt" o:hralign="center" o:hrstd="t" o:hr="t"/>
        </w:pict>
      </w:r>
    </w:p>
    <w:bookmarkEnd w:id="16"/>
    <w:bookmarkEnd w:id="17"/>
    <w:bookmarkStart w:id="30" w:name="results"/>
    <w:p>
      <w:pPr>
        <w:pStyle w:val="Heading2"/>
      </w:pPr>
      <w:r>
        <w:t xml:space="preserve">RESULTS</w:t>
      </w:r>
    </w:p>
    <w:bookmarkStart w:id="18" w:name="study-selection-1"/>
    <w:p>
      <w:pPr>
        <w:pStyle w:val="Heading3"/>
      </w:pPr>
      <w:r>
        <w:t xml:space="preserve">Study Selection</w:t>
      </w:r>
    </w:p>
    <w:p>
      <w:pPr>
        <w:pStyle w:val="FirstParagraph"/>
      </w:pPr>
      <w: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5 were excluded at the full-text stage (1 single-arm comparator absent, 2 Portuguese language, 1 unpublished, 1 duplicate/protocol report of the same EPIC trial), and 14 studies met all inclusion criteria and were included in the qualitative synthesis. Of these, subsets contributed to individual meta-analyses depending on outcome reporting and eligibility for pooling (Figure 1 — PRISMA flow diagram).</w:t>
      </w:r>
    </w:p>
    <w:bookmarkEnd w:id="18"/>
    <w:bookmarkStart w:id="19" w:name="study-characteristics"/>
    <w:p>
      <w:pPr>
        <w:pStyle w:val="Heading3"/>
      </w:pPr>
      <w:r>
        <w:t xml:space="preserve">Study Characteristics</w:t>
      </w:r>
    </w:p>
    <w:p>
      <w:pPr>
        <w:pStyle w:val="FirstParagraph"/>
      </w:pPr>
      <w:r>
        <w:t xml:space="preserve">The 14 included studies comprised 5 RCTs and 9 cohort studies, enrolling a total of 78,209 participants (Table 1). Studies were conducted in Australia (n = 1), France (n = 1), India (n = 1), Italy (n = 2), Japan (n = 1), and the United States (n = 8). Seven studies enrolled adult participants and seven enrolled paediatric patients. Settings included the emergency department (n = 8), intensive care unit (n = 3), inpatient hospital setting (n = 2), and a quaternary children’s hospital (n = 1). Six studies specifically enrolled DIVA populations, while the remainder included patients of mixed or all difficulty levels.</w:t>
      </w:r>
    </w:p>
    <w:p>
      <w:pPr>
        <w:pStyle w:val="BodyText"/>
      </w:pPr>
      <w:r>
        <w:t xml:space="preserve">Full study characteristics are detailed in Table 1. Key features are summarised below.</w:t>
      </w:r>
    </w:p>
    <w:p>
      <w:pPr>
        <w:pStyle w:val="BodyText"/>
      </w:pPr>
      <w:r>
        <w:t xml:space="preserve">Among the five RCTs, Kleidon et al. (2025) conducted the EPIC trial in 164 paediatric patients (Australia); Bridey et al. (2018) randomised 114 adult ICU DIVA patients (France); Varghese et al. (2025) enrolled 90 paediatric ED patients with two-hour follow-up only (India); Leroux et al. (2023) enrolled 222 adult ED patients but was substantially underpowered (target 582, enrolled 223; USA); and Nishizawa et al. (2020) randomised 60 adult ICU DIVA patients to nurse-performed USG versus standard care (Japan), reporting post-insertion extravasation as a secondary outcome (13.6% vs 28.5%, p=0.394).</w:t>
      </w:r>
    </w:p>
    <w:p>
      <w:pPr>
        <w:pStyle w:val="BodyText"/>
      </w:pPr>
      <w:r>
        <w:t xml:space="preserve">Among the nine cohort studies, Feinsmith et al. (2021) was the largest (n=43,470 adult DIVA patients; USA). Shokoohi et al. (2019) prospectively followed 330 adult ED patients with 72-hour follow-up, achieving the highest NOS score (9/9). Cottrell et al. (2021) is notable as the only unconfounded study reporting significantly longer USG dwell time (mean 96.1 vs. 59.4 hours; p&lt;0.001) using identical catheter types in both groups, though USG cases were disproportionately classified as difficult (75% vs. 36%).</w:t>
      </w:r>
    </w:p>
    <w:p>
      <w:pPr>
        <w:pStyle w:val="BodyText"/>
      </w:pPr>
      <w:r>
        <w:t xml:space="preserve">Four cohort studies were identified as having major catheter-specification confounding (detailed in the section below): Dachepally et al. (2023), Paladini et al. (2018), Refosco et al. (2024), and Desai et al. (2018). In all four, USG catheters were systematically longer or of different material than comparator catheters, rendering outcome differences unattributable to ultrasound guidance alone.</w:t>
      </w:r>
    </w:p>
    <w:bookmarkEnd w:id="19"/>
    <w:bookmarkStart w:id="20" w:name="risk-of-bias"/>
    <w:p>
      <w:pPr>
        <w:pStyle w:val="Heading3"/>
      </w:pPr>
      <w:r>
        <w:t xml:space="preserve">Risk of Bias</w:t>
      </w:r>
    </w:p>
    <w:p>
      <w:pPr>
        <w:pStyle w:val="FirstParagraph"/>
      </w:pPr>
      <w:r>
        <w:t xml:space="preserve">Among the five RCTs, four were judged to have</w:t>
      </w:r>
      <w:r>
        <w:t xml:space="preserve"> </w:t>
      </w:r>
      <w:r>
        <w:t xml:space="preserve">“some concerns”</w:t>
      </w:r>
      <w:r>
        <w:t xml:space="preserve"> </w:t>
      </w:r>
      <w:r>
        <w:t xml:space="preserve">overall (Kleidon et al., 2025; Bridey et al., 2018; Varghese et al., 2025; Nishizawa et al., 2020), primarily related to performance bias inherent in open-label designs where blinding of the operator is not feasible. Leroux et al. (2023) was rated as high risk of bias due to substantial attrition and failure to reach the target sample size.</w:t>
      </w:r>
    </w:p>
    <w:p>
      <w:pPr>
        <w:pStyle w:val="BodyText"/>
      </w:pPr>
      <w:r>
        <w:t xml:space="preserve">Among the nine cohort studies, NOS scores ranged from 5 to 9 (Table 2). Shokoohi et al. (2019) achieved the maximum score of 9/9. Feinsmith et al. (2021), Dachepally et al. (2023), Paladini et al. (2018), Cottrell et al. (2021), and Refosco et al. (2024) each scored 6/9, with points deducted primarily in the comparability domain (catheter type confounding for Dachepally, Paladini, and Refosco; difficulty-classification imbalance for Cottrell). Favot et al. (2019), Saltarelli et al. (2015), and Desai et al. (2018) scored 5/9.</w:t>
      </w:r>
    </w:p>
    <w:bookmarkEnd w:id="20"/>
    <w:bookmarkStart w:id="26" w:name="meta-analysis-results"/>
    <w:p>
      <w:pPr>
        <w:pStyle w:val="Heading3"/>
      </w:pPr>
      <w:r>
        <w:t xml:space="preserve">Meta-Analysis Results</w:t>
      </w:r>
    </w:p>
    <w:bookmarkStart w:id="21" w:name="primary-outcome-catheter-failure"/>
    <w:p>
      <w:pPr>
        <w:pStyle w:val="Heading4"/>
      </w:pPr>
      <w:r>
        <w:t xml:space="preserve">Primary Outcome: Catheter Failure</w:t>
      </w:r>
    </w:p>
    <w:p>
      <w:pPr>
        <w:pStyle w:val="FirstParagraph"/>
      </w:pPr>
      <w:r>
        <w:t xml:space="preserve">Four studies reported catheter failure or premature removal as a dichotomous outcome and were eligible for pooling (Kleidon et al., 2025; Leroux et al., 2023; Shokoohi et al., 2019; Saltarelli et al., 2015). The pooled random-effects RR was 1.23 (95% CI 0.995–1.508; p = 0.056; I</w:t>
      </w:r>
      <w:r>
        <w:rPr>
          <w:vertAlign w:val="superscript"/>
        </w:rPr>
        <w:t xml:space="preserve">2</w:t>
      </w:r>
      <w:r>
        <w:t xml:space="preserve"> </w:t>
      </w:r>
      <w:r>
        <w:t xml:space="preserve">= 0%), indicating no statistically significant difference between USG and landmark groups (Figure 2). Although the lower bound rounds to 1.00 at two decimal places, the precise value (0.995) confirms that the confidence interval crossed unity. The point estimate favoured landmark insertion. In a</w:t>
      </w:r>
      <w:r>
        <w:t xml:space="preserve"> </w:t>
      </w:r>
      <w:r>
        <w:rPr>
          <w:i/>
          <w:iCs/>
        </w:rPr>
        <w:t xml:space="preserve">post-hoc</w:t>
      </w:r>
      <w:r>
        <w:t xml:space="preserve"> </w:t>
      </w:r>
      <w:r>
        <w:t xml:space="preserve">sensitivity analysis using the REML estimator and HKSJ confidence interval adjustment (not pre-specified in PROSPERO), the result was directionally consistent (RR 1.225, 95% CI 1.005–1.493; p = 0.047). The primary DL estimate (p = 0.056) and HKSJ sensitivity estimate (p = 0.047) both straddle the conventional α = 0.05 threshold, indicating that statistical significance is borderline and sensitive to estimator choice; clinical interpretation should therefore emphasise the point estimate and the overall pattern of evidence rather than significance alone. A fourth cohort study (Desai et al. 2018) was eligible by outcome but excluded from primary pooling due to selection bias and catheter length confounding.</w:t>
      </w:r>
    </w:p>
    <w:p>
      <w:pPr>
        <w:pStyle w:val="BodyText"/>
      </w:pPr>
      <w:r>
        <w:t xml:space="preserve">Leave-one-out sensitivity analysis demonstrated that removing Kleidon et al. (2025) – the only paediatric study in this pool – shifted the estimate to RR 1.28 (95% CI 1.02–1.60; p = 0.032), while removing Saltarelli et al. (2015), the largest contributor at 49.8% random-effects weight, attenuated the estimate to RR 1.18 (95% CI 0.88–1.58; p = 0.28); the borderline catheter-failure result therefore depends substantially on the largest single study (Supplementary Table S4: leave-one-out for catheter failure).</w:t>
      </w:r>
    </w:p>
    <w:p>
      <w:pPr>
        <w:pStyle w:val="BodyText"/>
      </w:pPr>
      <w:r>
        <w:t xml:space="preserve">A</w:t>
      </w:r>
      <w:r>
        <w:t xml:space="preserve"> </w:t>
      </w:r>
      <w:r>
        <w:rPr>
          <w:i/>
          <w:iCs/>
        </w:rPr>
        <w:t xml:space="preserve">post-hoc</w:t>
      </w:r>
      <w:r>
        <w:t xml:space="preserve"> </w:t>
      </w:r>
      <w:r>
        <w:t xml:space="preserve">design-stratified analysis showed that the catheter-failure signal arose primarily from the cohort studies (k = 2; RR 1.29, 95% CI 1.02–1.63; p = 0.036), whereas the RCT-only estimate was essentially flat (k = 2; RR 1.03, 95% CI 0.66–1.61; p = 0.88). The design-by-effect interaction test was non-significant (p = 0.37); with only 2 studies in each design tier this comparison is severely underpowered. This pattern suggests that the overall estimate is influenced more by the cohort studies than by the RCTs.</w:t>
      </w:r>
    </w:p>
    <w:bookmarkEnd w:id="21"/>
    <w:bookmarkStart w:id="22" w:name="primary-outcome-dwell-time"/>
    <w:p>
      <w:pPr>
        <w:pStyle w:val="Heading4"/>
      </w:pPr>
      <w:r>
        <w:t xml:space="preserve">Primary Outcome: Dwell Time</w:t>
      </w:r>
    </w:p>
    <w:p>
      <w:pPr>
        <w:pStyle w:val="FirstParagraph"/>
      </w:pPr>
      <w:r>
        <w:t xml:space="preserve">Three studies reported dwell time in formats suitable for pooling (Kleidon et al., 2025; Leroux et al., 2023; Cottrell et al., 2021). However, pooling was precluded by substantial heterogeneity (I² = 91.9%; Figure 3). Kleidon et al. reported no difference (median 47.1 vs. 47.7 hours), Leroux et al. similarly found no difference (mean 23.5 vs. 24.7 hours; p = 0.808), while Cottrell et al. reported a significant 36.7-hour advantage favouring USG (mean 96.1 vs. 59.4 hours; p &lt; 0.001). The conflicting results likely reflect differences in populations, operator expertise, and clinical context: Cottrell et al. studied a specialised vascular access team with extensive USG experience in a paediatric setting, where USG may confer particular advantages due to the unique challenges of paediatric venous access. Narrative synthesis of these three unconfounded studies suggests that any dwell time benefit of USG may be setting-dependent and operator-dependent rather than a generalisable effect of the guidance modality. Two additional studies reporting dwell time (Refosco 2024, Desai 2018) were excluded from this analysis due to catheter length confounding.</w:t>
      </w:r>
    </w:p>
    <w:bookmarkEnd w:id="22"/>
    <w:bookmarkStart w:id="23" w:name="secondary-outcome-infiltration"/>
    <w:p>
      <w:pPr>
        <w:pStyle w:val="Heading4"/>
      </w:pPr>
      <w:r>
        <w:t xml:space="preserve">Secondary Outcome: Infiltration</w:t>
      </w:r>
    </w:p>
    <w:p>
      <w:pPr>
        <w:pStyle w:val="FirstParagraph"/>
      </w:pPr>
      <w:r>
        <w:t xml:space="preserve">Two studies reported infiltration rates (Varghese et al., 2025; Saltarelli et al., 2015). The pooled RR was 0.68 (95% CI 0.12–3.83; p = 0.67; I</w:t>
      </w:r>
      <w:r>
        <w:rPr>
          <w:vertAlign w:val="superscript"/>
        </w:rPr>
        <w:t xml:space="preserve">2</w:t>
      </w:r>
      <w:r>
        <w:t xml:space="preserve"> </w:t>
      </w:r>
      <w:r>
        <w:t xml:space="preserve">= 65.9%), indicating no significant difference with moderate-to-substantial heterogeneity (Figure 4). Notably, the two studies reported conflicting directions: Varghese et al. found a non-significant trend favouring USG (2.22% vs. 11.11%; p = 0.09), while Saltarelli et al. reported a non-significant trend against USG (7.6% vs. 5.9%; OR 1.31, 95% CI 0.92–1.88).</w:t>
      </w:r>
    </w:p>
    <w:bookmarkEnd w:id="23"/>
    <w:bookmarkStart w:id="24" w:name="secondary-outcome-extravasation"/>
    <w:p>
      <w:pPr>
        <w:pStyle w:val="Heading4"/>
      </w:pPr>
      <w:r>
        <w:t xml:space="preserve">Secondary Outcome: Extravasation</w:t>
      </w:r>
    </w:p>
    <w:p>
      <w:pPr>
        <w:pStyle w:val="FirstParagraph"/>
      </w:pPr>
      <w:r>
        <w:t xml:space="preserve">Three studies reported extravasation events (Bridey et al. 2018, Favot et al. 2019, Nishizawa et al. 2020); however, the fundamental incompatibility of their populations and outcome definitions precludes any meaningful pooled inference, and individual study results are the primary informative unit. Bridey et al. found extravasation as a reason for catheter removal in 34% of USG versus 18% of landmark catheters (p = 0.094) in an adult ICU setting. Favot et al. reported contrast extravasation rates of 4.1% with USG versus 0.21% with standard PIVCs (RR 19.4, 95% CI 10.6–35.6), confined to a highly specific high-pressure CT contrast injection context. Nishizawa et al. reported a directionally opposite finding (13.6% vs 28.5%, p = 0.394) in a small ICU RCT. A formal meta-analytic pooling was performed for completeness and yielded an uninterpretable summary estimate (RR 2.75, 95% CI 0.29–26.28; I²=95.7%), confirming statistical incompatibility; this figure should not be read as a meaningful effect estimate.</w:t>
      </w:r>
    </w:p>
    <w:bookmarkEnd w:id="24"/>
    <w:bookmarkStart w:id="25" w:name="Xe804cd1b9f89becaf0c55a521294c2faa4ca98c"/>
    <w:p>
      <w:pPr>
        <w:pStyle w:val="Heading4"/>
      </w:pPr>
      <w:r>
        <w:t xml:space="preserve">Time-to-event-adjacent estimates (not pooled)</w:t>
      </w:r>
    </w:p>
    <w:p>
      <w:pPr>
        <w:pStyle w:val="FirstParagraph"/>
      </w:pPr>
      <w:r>
        <w:t xml:space="preserve">Two studies reported effect estimates with a time-to-event component but using different statistical metrics, precluding meaningful meta-analytic pooling. Feinsmith et al. (2021) reported an adjusted hazard ratio (HR) of 0.91 (95% CI 0.87–0.95) favouring USG for catheter survival at 30 days, derived from a multivariable Cox proportional hazards model. Shokoohi et al. (2019) reported a premature removal risk ratio (RR) of 1.26 (95% CI 0.88–1.80) trending against USG at a fixed 72-hour follow-up window — a cumulative-incidence ratio rather than a hazard ratio.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(Figure 6) without a pooled summary statistic. Notably, the Feinsmith et al. Kaplan-Meier analysis revealed a time-dependent pattern: USG catheters performed slightly worse at 24 hours (survival 0.82 vs. 0.86) but better at 72 hours and beyond (survival 0.61 vs. 0.57), suggesting that initial vulnerability may be offset by longer-term durability in selected cases — a pattern that may also help explain why the 72-hour Shokoohi RR trends in the opposite direction from the 30-day Feinsmith adjusted HR.</w:t>
      </w:r>
    </w:p>
    <w:bookmarkEnd w:id="25"/>
    <w:bookmarkEnd w:id="26"/>
    <w:bookmarkStart w:id="28" w:name="subgroup-and-sensitivity-analyses"/>
    <w:p>
      <w:pPr>
        <w:pStyle w:val="Heading3"/>
      </w:pPr>
      <w:r>
        <w:t xml:space="preserve">Subgroup and Sensitivity Analyses</w:t>
      </w:r>
    </w:p>
    <w:bookmarkStart w:id="27" w:name="X45c870adac2c37dc9cf4f4443fc87240cdedafd"/>
    <w:p>
      <w:pPr>
        <w:pStyle w:val="Heading4"/>
      </w:pPr>
      <w:r>
        <w:t xml:space="preserve">Adult vs. Paediatric Subgroup (Catheter Failure)</w:t>
      </w:r>
    </w:p>
    <w:p>
      <w:pPr>
        <w:pStyle w:val="FirstParagraph"/>
      </w:pPr>
      <w:r>
        <w:t xml:space="preserve">Among adult studies (k = 3), the pooled RR was 1.28 (95% CI 1.02–1.60; p = 0.03), with the point estimate trending unfavourable to USG. Only one paediatric study (Kleidon et al., 2025) contributed to this outcome, with RR 0.95 suggesting no difference. The test for subgroup differences was not significant (p = 0.32), indicating that the observed adult-subgroup result should be interpreted as hypothesis-generating rather than confirmatory.</w:t>
      </w:r>
    </w:p>
    <w:p>
      <w:pPr>
        <w:pStyle w:val="BodyText"/>
      </w:pPr>
      <w:r>
        <w:t xml:space="preserve">(See</w:t>
      </w:r>
      <w:r>
        <w:t xml:space="preserve"> </w:t>
      </w:r>
      <w:r>
        <w:t xml:space="preserve">“Primary Outcome: Catheter Failure”</w:t>
      </w:r>
      <w:r>
        <w:t xml:space="preserve"> </w:t>
      </w:r>
      <w:r>
        <w:t xml:space="preserve">above for the</w:t>
      </w:r>
      <w:r>
        <w:t xml:space="preserve"> </w:t>
      </w:r>
      <w:r>
        <w:rPr>
          <w:i/>
          <w:iCs/>
        </w:rPr>
        <w:t xml:space="preserve">post-hoc</w:t>
      </w:r>
      <w:r>
        <w:t xml:space="preserve"> </w:t>
      </w:r>
      <w:r>
        <w:t xml:space="preserve">design-stratified analysis [RCT-only vs cohort-only] and the leave-one-out sensitivity analysis showing dependence on the largest cohort study.)</w:t>
      </w:r>
    </w:p>
    <w:bookmarkEnd w:id="27"/>
    <w:bookmarkEnd w:id="28"/>
    <w:bookmarkStart w:id="29" w:name="studies-with-major-confounding"/>
    <w:p>
      <w:pPr>
        <w:pStyle w:val="Heading3"/>
      </w:pPr>
      <w:r>
        <w:t xml:space="preserve">Studies with Major Confounding</w:t>
      </w:r>
    </w:p>
    <w:p>
      <w:pPr>
        <w:pStyle w:val="FirstParagraph"/>
      </w:pPr>
      <w:r>
        <w:t xml:space="preserve">Four studies were excluded from the primary pooled analyses due to systematic differences in catheter specifications between groups. Dachepally et al. (2023) reported dramatically longer dwell times for USG catheters (median 219 vs. 108 hours; HR 2.20, 95% CI 1.45–3.34) in a paediatric ICU setting, but USG catheters were exclusively 4.4 cm in length compared with 1.9–3.2 cm in the traditional group. Paladini et al. (2018) reported significantly longer dwell times (9.2 +/- 6.0 vs. 3.2 +/- 2.1 days; p &lt; 0.0001) and fewer complications (25% vs. 70%; p = 0.003) with USG, but USG catheters were 8 cm polyurethane cannulas placed via Seldinger technique versus short Teflon catheters in the landmark group. Refosco et al. (2024) reported longer dwell times (5.3 ± 4.0 vs. 2.5 ± 1.8 days; p &lt; 0.001) and fewer complications (34% vs. 70%; p &lt; 0.001) with USG in a paediatric ED, but USG cannulas were predominantly 64 mm long peripheral catheters compared with 19-32 mm short cannulas in the blind group. Desai et al. (2018) similarly reported longer Kaplan-Meier median survival with USG (143 vs 89 hours, log-rank p&lt;0.001) in a paediatric ED, but USG patients disproportionately had a history of difficult access (55% vs 7.2%) and the authors acknowledged that the majority of USG catheters were longer than traditional catheters. In all four studies, the observed benefits are more plausibly attributed to greater intravascular catheter length and catheter material – and, in Desai, selection bias – rather than to ultrasound guidance per se. In a sensitivity analysis including all studies reporting dwell time (adding Refosco and Desai to the confounded set), heterogeneity remained extreme.</w:t>
      </w:r>
    </w:p>
    <w:p>
      <w:r>
        <w:pict>
          <v:rect style="width:0;height:1.5pt" o:hralign="center" o:hrstd="t" o:hr="t"/>
        </w:pict>
      </w:r>
    </w:p>
    <w:bookmarkEnd w:id="29"/>
    <w:bookmarkEnd w:id="30"/>
    <w:bookmarkStart w:id="33" w:name="discussion"/>
    <w:p>
      <w:pPr>
        <w:pStyle w:val="Heading2"/>
      </w:pPr>
      <w:r>
        <w:t xml:space="preserve">DISCUSSION</w:t>
      </w:r>
    </w:p>
    <w:p>
      <w:pPr>
        <w:pStyle w:val="FirstParagraph"/>
      </w:pPr>
      <w:r>
        <w:t xml:space="preserve">This systematic review and meta-analysis is, to our knowledge, the first to specifically and comprehensively evaluate post-insertion outcomes of USG compared with landmark PIVC placement. Across 14 studies enrolling 78,209 participants, we found no statistically significant evidence that USG insertion improves catheter failure rates, dwell time, or other post-insertion complications. The pooled RR for catheter failure was 1.23 (95% CI 0.99–1.51; p = 0.056), a non-significant estimate with a point estimate above 1.0. Dwell time results were heterogeneous and could not be pooled (I² = 91.9%). These findings challenge the implicit assumption that the well-documented insertion benefits of USG translate into superior catheter performance after placement.</w:t>
      </w:r>
    </w:p>
    <w:p>
      <w:pPr>
        <w:pStyle w:val="BodyText"/>
      </w:pPr>
      <w:r>
        <w:t xml:space="preserve">The addition of Cottrell et al. (2021) introduced substantial heterogeneity into the dwell time analysis (I² = 91.9%), preventing meta-analytic pooling. This study’s positive finding – a 36.7-hour dwell time advantage for USG – is notable because it used identical catheter types in both groups, thus controlling for the catheter length confounding present in other positive studies. However, the Cottrell et al. finding should be interpreted in context: USG cases were disproportionately classified as difficult (75% vs. 36%), and the specialised vascular access team may have achieved superior catheter placement through vessel selection expertise rather than ultrasound guidance per se.</w:t>
      </w:r>
    </w:p>
    <w:p>
      <w:pPr>
        <w:pStyle w:val="BodyText"/>
      </w:pPr>
      <w:r>
        <w:t xml:space="preserve">Our results must be interpreted against the broader context of USG PIVC literature. Prior systematic reviews and meta-analyses have consistently demonstrated that USG improves first-attempt success rates and reduces the number of skin punctures, particularly in DIVA populations.</w:t>
      </w:r>
      <w:r>
        <w:rPr>
          <w:vertAlign w:val="superscript"/>
        </w:rPr>
        <w:t xml:space="preserve">4-6</w:t>
      </w:r>
      <w:r>
        <w:t xml:space="preserve"> </w:t>
      </w:r>
      <w:r>
        <w:t xml:space="preserve">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w:t>
      </w:r>
    </w:p>
    <w:p>
      <w:pPr>
        <w:pStyle w:val="BodyText"/>
      </w:pPr>
      <w:r>
        <w:t xml:space="preserve">A critical finding of this review is the identification of catheter length and type as likely confounders in studies reporting favourable USG outcomes. Dachepally et al. (2023), Paladini et al. (2018), Refosco et al. (2024), and Desai et al. (2018) demonstrated markedly superior outcomes with USG, but in all these studies, USG catheters were substantially longer than those in the comparator group. The addition of Nishizawa et al. (2020), an RCT in critically ill patients, supports the absence of meaningful post-insertion benefits even in a high-acuity DIVA population, while Desai et al. (2018) – once again –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w:t>
      </w:r>
      <w:r>
        <w:rPr>
          <w:vertAlign w:val="superscript"/>
        </w:rPr>
        <w:t xml:space="preserve">9,10</w:t>
      </w:r>
    </w:p>
    <w:p>
      <w:pPr>
        <w:pStyle w:val="BodyText"/>
      </w:pPr>
      <w:r>
        <w:t xml:space="preserve">An important question arising from this observation is whether USG inherently induces the use of longer catheters. By visualising deeper, non-palpable veins – typically the brachial, basilic, or deep forearm veins at depths of 1.0 to 2.0 cm – USG cannulation often necessitates longer catheters to ensure an adequate intravascular segment.</w:t>
      </w:r>
      <w:r>
        <w:rPr>
          <w:vertAlign w:val="superscript"/>
        </w:rPr>
        <w:t xml:space="preserve">7</w:t>
      </w:r>
      <w:r>
        <w:t xml:space="preserve"> </w:t>
      </w:r>
      <w:r>
        <w:t xml:space="preserve">When a standard 4.5 cm catheter is inserted into a vessel at 1.5 cm depth at a 45-degree angle, the resulting intravascular length may be as little as 1.5 to 2.0 cm, leaving a substantial portion of the catheter in subcutaneous tissue.</w:t>
      </w:r>
      <w:r>
        <w:rPr>
          <w:vertAlign w:val="superscript"/>
        </w:rPr>
        <w:t xml:space="preserve">10</w:t>
      </w:r>
      <w:r>
        <w:t xml:space="preserve"> </w:t>
      </w:r>
      <w:r>
        <w:t xml:space="preserve">Pandurangadu et al. demonstrated that 100% of USG catheters failed when less than 30% of the catheter length resided within the vein.</w:t>
      </w:r>
      <w:r>
        <w:rPr>
          <w:vertAlign w:val="superscript"/>
        </w:rPr>
        <w:t xml:space="preserve">10</w:t>
      </w:r>
      <w:r>
        <w:t xml:space="preserve"> </w:t>
      </w:r>
      <w:r>
        <w:t xml:space="preserve">In this context, the superior outcomes observed in studies using longer catheters (4.4 cm in Dachepally et al.; 8 cm in Paladini et al.) may reflect the physical requirement of matching catheter length to vessel depth rather than an independent benefit of ultrasound guidance per se. This distinction has profound clinical implications: the benefit may not lie in</w:t>
      </w:r>
      <w:r>
        <w:t xml:space="preserve"> </w:t>
      </w:r>
      <w:r>
        <w:t xml:space="preserve">“seeing the vein”</w:t>
      </w:r>
      <w:r>
        <w:t xml:space="preserve"> </w:t>
      </w:r>
      <w:r>
        <w:t xml:space="preserve">during insertion, but rather in selecting an appropriately long catheter for the depth of the target vessel. The catheter-to-vein ratio, which van Loon et al. identified as a critical determinant of cannulation success with an optimal cut-off of approximately 0.41,</w:t>
      </w:r>
      <w:r>
        <w:rPr>
          <w:vertAlign w:val="superscript"/>
        </w:rPr>
        <w:t xml:space="preserve">9</w:t>
      </w:r>
      <w:r>
        <w:t xml:space="preserve"> </w:t>
      </w:r>
      <w:r>
        <w:t xml:space="preserve">may be equally important for post-insertion catheter survival. Future studies must therefore control for catheter specifications – including length, gauge, and material – to isolate the independent effect of the ultrasound guidance modality from the confounding effect of catheter selection.</w:t>
      </w:r>
    </w:p>
    <w:bookmarkStart w:id="31" w:name="X67e62c85af8955fb3feec55aa34fe45dfdd3444"/>
    <w:p>
      <w:pPr>
        <w:pStyle w:val="Heading3"/>
      </w:pPr>
      <w:r>
        <w:t xml:space="preserve">Extravasation as a Potential Safety Signal</w:t>
      </w:r>
    </w:p>
    <w:p>
      <w:pPr>
        <w:pStyle w:val="FirstParagraph"/>
      </w:pPr>
      <w:r>
        <w:t xml:space="preserve">An exploratory extravasation signal emerges from three studies that warrants acknowledgment, while noting that the certainty of this evidence is very low (GRADE ⊕◯◯◯). Bridey et al. (2018) and Favot et al. (2019) reported numerically higher extravasation rates with USG, though the magnitude differed dramatically (RR 1.92 vs. 19.4); Nishizawa et al. (2020) reported a directionally opposite finding (13.6% vs. 28.5%). The extreme between-study heterogeneity (I</w:t>
      </w:r>
      <w:r>
        <w:rPr>
          <w:vertAlign w:val="superscript"/>
        </w:rPr>
        <w:t xml:space="preserve">2</w:t>
      </w:r>
      <w:r>
        <w:t xml:space="preserve"> </w:t>
      </w:r>
      <w:r>
        <w:t xml:space="preserve">=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pPr>
        <w:pStyle w:val="BodyText"/>
      </w:pPr>
      <w:r>
        <w:t xml:space="preserve">The underlying biomechanics offer a plausible explanation. USG enables cannulation of deeper, non-palpable veins – typically at depths of 1.0 to 2.0 cm below the skin surface.</w:t>
      </w:r>
      <w:r>
        <w:rPr>
          <w:vertAlign w:val="superscript"/>
        </w:rPr>
        <w:t xml:space="preserve">7</w:t>
      </w:r>
      <w:r>
        <w:t xml:space="preserve"> </w:t>
      </w:r>
      <w:r>
        <w:t xml:space="preserve">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w:t>
      </w:r>
      <w:r>
        <w:rPr>
          <w:vertAlign w:val="superscript"/>
        </w:rPr>
        <w:t xml:space="preserve">7</w:t>
      </w:r>
      <w:r>
        <w:t xml:space="preserve"> </w:t>
      </w:r>
      <w:r>
        <w:t xml:space="preserve">The short intravascular segment is susceptible to catheter tip migration with patient movement, particularly at flexion points such as the antecubital fossa. When the catheter tip migrates outside the vessel lumen, any infusate – but especially high-pressure contrast injections – can extravasate into the perivascular tissue.</w:t>
      </w:r>
    </w:p>
    <w:p>
      <w:pPr>
        <w:pStyle w:val="BodyText"/>
      </w:pPr>
      <w:r>
        <w:t xml:space="preserve">The dramatically elevated Favot et al. RR (19.4) for contrast extravasation likely reflects standard-length catheter vulnerability compounded by high-pressure injection during CT contrast administration; Bridey et al. observed a more modest but still concerning trend (34% vs 18%, p = 0.094) in an ICU setting where USG catheters were also larger gauge (18G vs 21G, p = 0.059), which may have contributed independently to vessel wall trauma.</w:t>
      </w:r>
    </w:p>
    <w:p>
      <w:pPr>
        <w:pStyle w:val="BodyText"/>
      </w:pPr>
      <w:r>
        <w:t xml:space="preserve">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pPr>
        <w:pStyle w:val="BodyText"/>
      </w:pPr>
      <w:r>
        <w:t xml:space="preserve">The subgroup analysis by age group generated a hypothesis worth noting in the context of future research. Among adult studies (k = 3), the pooled RR was 1.28 (95% CI 1.02–1.60; p = 0.03), with the point estimate trending unfavourably for USG. A biomechanically plausible explanation exists: USG targets deeper veins that may be more prone to catheter tip migration with standard-length catheters. In contrast, the single paediatric study (Kleidon et al., 2025) showed no difference (RR 0.95). However, the subgroup interaction test was not significant (p = 0.32), the adult subgroup includes a conference abstract (Saltarelli et al., 2015) with limited methodological detail, and overall GRADE certainty is low. This result should therefore be characterised as an exploratory signal requiring confirmation in adequately powered prospective studies, rather than as evidence of harm.</w:t>
      </w:r>
    </w:p>
    <w:p>
      <w:pPr>
        <w:pStyle w:val="BodyText"/>
      </w:pPr>
      <w:r>
        <w:t xml:space="preserve">As reported above (Results, Catheter Failure), the</w:t>
      </w:r>
      <w:r>
        <w:t xml:space="preserve"> </w:t>
      </w:r>
      <w:r>
        <w:rPr>
          <w:i/>
          <w:iCs/>
        </w:rPr>
        <w:t xml:space="preserve">post-hoc</w:t>
      </w:r>
      <w:r>
        <w:t xml:space="preserve"> </w:t>
      </w:r>
      <w:r>
        <w:t xml:space="preserve">design-stratified analysis showed that the borderline overall failure signal arose from the cohort studies (RR 1.29, 95% CI 1.02–1.63) while the RCT-only estimate was flat (RR 1.03, 95% CI 0.66–1.61). The Feinsmith et al. (2021) study,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 illustrating one source of the divergence between cohort-driven and RCT-driven estimates.</w:t>
      </w:r>
    </w:p>
    <w:p>
      <w:pPr>
        <w:pStyle w:val="BodyText"/>
      </w:pPr>
      <w:r>
        <w:t xml:space="preserve">This review has several important limitations. First, the evidence base is small and heterogeneous, comprising only five RCTs and nine cohort studies with varied populations, settings, outcome definitions, and follow-up durations. Second, inter-rater agreement for title/abstract screening was fair (Cohen’s kappa = 0.330; percent agreement 95.8%), reflecting the κ paradox under high exclusion prevalence</w:t>
      </w:r>
      <w:r>
        <w:rPr>
          <w:vertAlign w:val="superscript"/>
        </w:rPr>
        <w:t xml:space="preserve">11</w:t>
      </w:r>
      <w:r>
        <w:t xml:space="preserve"> </w:t>
      </w:r>
      <w:r>
        <w:t xml:space="preserve">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w:t>
      </w:r>
      <w:r>
        <w:rPr>
          <w:vertAlign w:val="superscript"/>
        </w:rPr>
        <w:t xml:space="preserve">4-6</w:t>
      </w:r>
      <w:r>
        <w:t xml:space="preserve"> </w:t>
      </w:r>
      <w:r>
        <w:t xml:space="preserve">(no eligible studies missed) and an audit trail of all second-pass decisions (Supplementary File: screening_consensus.md). Third, four studies had major confounding by catheter type or selection, necessitating their exclusion from pooled analyses. Fourth, Saltarelli et al. (2015) was available only as a conference abstract with limited methodological detail. Fifth, Varghese et al. (2025)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Finally, the overall certainty of evidence as assessed by the GRADE framework ranged from low to very low across all outcomes (Table 3),</w:t>
      </w:r>
      <w:r>
        <w:rPr>
          <w:vertAlign w:val="superscript"/>
        </w:rPr>
        <w:t xml:space="preserve">12</w:t>
      </w:r>
      <w:r>
        <w:t xml:space="preserve"> </w:t>
      </w:r>
      <w:r>
        <w:t xml:space="preserve">reflecting the predominance of observational studies, serious imprecision, and the limitations of the available RCTs.</w:t>
      </w:r>
    </w:p>
    <w:bookmarkEnd w:id="31"/>
    <w:bookmarkStart w:id="32" w:name="clinical-implications"/>
    <w:p>
      <w:pPr>
        <w:pStyle w:val="Heading3"/>
      </w:pPr>
      <w:r>
        <w:t xml:space="preserve">Clinical Implications</w:t>
      </w:r>
    </w:p>
    <w:p>
      <w:pPr>
        <w:pStyle w:val="FirstParagraph"/>
      </w:pPr>
      <w:r>
        <w:t xml:space="preserve">Based on current evidence, clinicians should continue to use USG as a valuable tool for achieving venous access in patients with DIVA, where its insertion benefits are well established. However, current evidence does not demonstrate a consistent post-insertion advantage of USG over successful landmark placement, and the available data do not support assuming that the well-documented insertion benefits of USG automatically translate into improved post-insertion catheter performance. To optimise PIVC longevity regardless of insertion technique, attention should be directed toward modifiable factors such as catheter length, catheter-to-vein ratio, securement methods, and post-insertion care bundles. Future RCTs should be adequately powered, control for catheter specifications, employ standardised outcome definitions aligned with the OMG (One Million Global) PIVC outcomes framework, and include follow-up periods sufficient to capture clinically relevant complications.</w:t>
      </w:r>
    </w:p>
    <w:p>
      <w:r>
        <w:pict>
          <v:rect style="width:0;height:1.5pt" o:hralign="center" o:hrstd="t" o:hr="t"/>
        </w:pict>
      </w:r>
    </w:p>
    <w:bookmarkEnd w:id="32"/>
    <w:bookmarkEnd w:id="33"/>
    <w:bookmarkStart w:id="34" w:name="conclusions"/>
    <w:p>
      <w:pPr>
        <w:pStyle w:val="Heading2"/>
      </w:pPr>
      <w:r>
        <w:t xml:space="preserve">CONCLUSIONS</w:t>
      </w:r>
    </w:p>
    <w:p>
      <w:pPr>
        <w:pStyle w:val="FirstParagraph"/>
      </w:pPr>
      <w:r>
        <w:t xml:space="preserve">This systematic review and meta-analysis of 14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0.99–1.51; p = 0.056). Dwell time results were heterogeneous (I² = 91.9%) and could not be pooled, with one study showing significant benefit and two showing no difference. In adult patients specifically, the pooled RR for catheter failure trended unfavourably for USG (RR 1.28, 95% CI 1.02–1.60; p = 0.03), though the subgroup interaction test was non-significant (p = 0.32) and this result is best considered hypothesis-generating given the small number of studies and low certainty of evidence.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favourable USG results were confounded by systematic differences in catheter length and type, highlighting that catheter selection – not the guidance modality – may be the primary determinant of post-insertion catheter performance. The current evidence more strongly supports the insertion-phase advantage of USG (well established in prior systematic reviews) than any consistent post-insertion advantage. Future adequately powered RCTs that control for catheter length, gauge, and material are essential to provide definitive evidence.</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1. Alexandrou E, Ray-Barruel G, Carr PJ, et al. Use of short peripheral intravenous catheters: characteristics, management, and outcomes worldwide.</w:t>
      </w:r>
      <w:r>
        <w:t xml:space="preserve"> </w:t>
      </w:r>
      <w:r>
        <w:rPr>
          <w:i/>
          <w:iCs/>
        </w:rPr>
        <w:t xml:space="preserve">J Hosp Med</w:t>
      </w:r>
      <w:r>
        <w:t xml:space="preserve">. 2018;13(5). doi:10.12788/jhm.2937</w:t>
      </w:r>
    </w:p>
    <w:p>
      <w:pPr>
        <w:pStyle w:val="BodyText"/>
      </w:pPr>
      <w:r>
        <w:t xml:space="preserve">2. O’Grady NP, Alexander M, Burns LA, et al. Guidelines for the prevention of intravascular catheter-related infections.</w:t>
      </w:r>
      <w:r>
        <w:t xml:space="preserve"> </w:t>
      </w:r>
      <w:r>
        <w:rPr>
          <w:i/>
          <w:iCs/>
        </w:rPr>
        <w:t xml:space="preserve">Am J Infect Control</w:t>
      </w:r>
      <w:r>
        <w:t xml:space="preserve">. 2011;39(4 Suppl 1):S1-S34. doi:10.1016/j.ajic.2011.01.003</w:t>
      </w:r>
    </w:p>
    <w:p>
      <w:pPr>
        <w:pStyle w:val="BodyText"/>
      </w:pPr>
      <w:r>
        <w:t xml:space="preserve">3. Nickel B, Gorski L, Kleidon T, et al. Infusion Therapy Standards of Practice, 9th Edition.</w:t>
      </w:r>
      <w:r>
        <w:t xml:space="preserve"> </w:t>
      </w:r>
      <w:r>
        <w:rPr>
          <w:i/>
          <w:iCs/>
        </w:rPr>
        <w:t xml:space="preserve">J Infus Nurs</w:t>
      </w:r>
      <w:r>
        <w:t xml:space="preserve">. 2024;47(1S Suppl 1):S1-S285. doi:10.1097/NAN.0000000000000532</w:t>
      </w:r>
    </w:p>
    <w:p>
      <w:pPr>
        <w:pStyle w:val="BodyText"/>
      </w:pPr>
      <w:r>
        <w:t xml:space="preserve">4. Egan G, Healy D, O’Neill H, Clarke-Moloney M, Grace PA, Walsh SR. Ultrasound guidance for difficult peripheral venous access: systematic review and meta-analysis.</w:t>
      </w:r>
      <w:r>
        <w:t xml:space="preserve"> </w:t>
      </w:r>
      <w:r>
        <w:rPr>
          <w:i/>
          <w:iCs/>
        </w:rPr>
        <w:t xml:space="preserve">Emerg Med J</w:t>
      </w:r>
      <w:r>
        <w:t xml:space="preserve">. 2013;30(7):521-526. doi:10.1136/emermed-2012-201652</w:t>
      </w:r>
    </w:p>
    <w:p>
      <w:pPr>
        <w:pStyle w:val="BodyText"/>
      </w:pPr>
      <w:r>
        <w:t xml:space="preserve">5. Stolz LA, Stolz U, Howe C, Farrell IJ, Adhikari S. Ultrasound-guided peripheral venous access: a meta-analysis and systematic review.</w:t>
      </w:r>
      <w:r>
        <w:t xml:space="preserve"> </w:t>
      </w:r>
      <w:r>
        <w:rPr>
          <w:i/>
          <w:iCs/>
        </w:rPr>
        <w:t xml:space="preserve">J Vasc Access</w:t>
      </w:r>
      <w:r>
        <w:t xml:space="preserve">. 2015;16(4):321-326. doi:10.5301/jva.5000346</w:t>
      </w:r>
    </w:p>
    <w:p>
      <w:pPr>
        <w:pStyle w:val="BodyText"/>
      </w:pPr>
      <w:r>
        <w:t xml:space="preserve">6. van Loon FHJ, Buise MP, Claassen JJF, Dierick-van Daele ATM, Bouwman ARA. Comparison of ultrasound guidance with palpation and direct visualisation for peripheral vein cannulation in adult patients: a systematic review and meta-analysis.</w:t>
      </w:r>
      <w:r>
        <w:t xml:space="preserve"> </w:t>
      </w:r>
      <w:r>
        <w:rPr>
          <w:i/>
          <w:iCs/>
        </w:rPr>
        <w:t xml:space="preserve">Br J Anaesth</w:t>
      </w:r>
      <w:r>
        <w:t xml:space="preserve">. 2018;121(2):358-366. doi:10.1016/j.bja.2018.04.047</w:t>
      </w:r>
    </w:p>
    <w:p>
      <w:pPr>
        <w:pStyle w:val="BodyText"/>
      </w:pPr>
      <w:r>
        <w:t xml:space="preserve">7. Fields JM, Dean AJ, Todman RW, et al. The effect of vessel depth, diameter, and location on ultrasound-guided peripheral intravenous catheter longevity.</w:t>
      </w:r>
      <w:r>
        <w:t xml:space="preserve"> </w:t>
      </w:r>
      <w:r>
        <w:rPr>
          <w:i/>
          <w:iCs/>
        </w:rPr>
        <w:t xml:space="preserve">Am J Emerg Med</w:t>
      </w:r>
      <w:r>
        <w:t xml:space="preserve">. 2012;30(7):1134-1140. doi:10.1016/j.ajem.2011.07.027</w:t>
      </w:r>
    </w:p>
    <w:p>
      <w:pPr>
        <w:pStyle w:val="BodyText"/>
      </w:pPr>
      <w:r>
        <w:t xml:space="preserve">8. Elia F, Ferrari G, Molino P, et al. Standard-length catheters vs long catheters in ultrasound-guided peripheral vein cannulation.</w:t>
      </w:r>
      <w:r>
        <w:t xml:space="preserve"> </w:t>
      </w:r>
      <w:r>
        <w:rPr>
          <w:i/>
          <w:iCs/>
        </w:rPr>
        <w:t xml:space="preserve">Am J Emerg Med</w:t>
      </w:r>
      <w:r>
        <w:t xml:space="preserve">. 2012;30(5):712-716. doi:10.1016/j.ajem.2011.04.019</w:t>
      </w:r>
    </w:p>
    <w:p>
      <w:pPr>
        <w:pStyle w:val="BodyText"/>
      </w:pPr>
      <w:r>
        <w:t xml:space="preserve">9. van Loon FHJ, Korsten HHM, Dierick-van Daele ATM, Bouwman ARA. The impact of the catheter to vein ratio on peripheral intravenous cannulation success, a post-hoc analyses.</w:t>
      </w:r>
      <w:r>
        <w:t xml:space="preserve"> </w:t>
      </w:r>
      <w:r>
        <w:rPr>
          <w:i/>
          <w:iCs/>
        </w:rPr>
        <w:t xml:space="preserve">PLoS One</w:t>
      </w:r>
      <w:r>
        <w:t xml:space="preserve">. 2021;16(5):e0252166. doi:10.1371/journal.pone.0252166</w:t>
      </w:r>
    </w:p>
    <w:p>
      <w:pPr>
        <w:pStyle w:val="BodyText"/>
      </w:pPr>
      <w:r>
        <w:t xml:space="preserve">10. Pandurangadu AV, Tucker J, Brackney AR, Bahl A. Ultrasound-guided intravenous catheter survival impacted by amount of catheter residing in the vein.</w:t>
      </w:r>
      <w:r>
        <w:t xml:space="preserve"> </w:t>
      </w:r>
      <w:r>
        <w:rPr>
          <w:i/>
          <w:iCs/>
        </w:rPr>
        <w:t xml:space="preserve">Emerg Med J</w:t>
      </w:r>
      <w:r>
        <w:t xml:space="preserve">. 2018;35(9):550-555. doi:10.1136/emermed-2017-206803</w:t>
      </w:r>
    </w:p>
    <w:p>
      <w:pPr>
        <w:pStyle w:val="BodyText"/>
      </w:pPr>
      <w:r>
        <w:t xml:space="preserve">11. Byrt T, Bishop J, Carlin JB. Bias, prevalence and kappa.</w:t>
      </w:r>
      <w:r>
        <w:t xml:space="preserve"> </w:t>
      </w:r>
      <w:r>
        <w:rPr>
          <w:i/>
          <w:iCs/>
        </w:rPr>
        <w:t xml:space="preserve">J Clin Epidemiol</w:t>
      </w:r>
      <w:r>
        <w:t xml:space="preserve">. 1993;46(5):423-429. doi:10.1016/0895-4356(93)90018-V</w:t>
      </w:r>
    </w:p>
    <w:p>
      <w:pPr>
        <w:pStyle w:val="BodyText"/>
      </w:pPr>
      <w:r>
        <w:t xml:space="preserve">12. Guyatt GH, Oxman AD, Vist GE, et al. GRADE: an emerging consensus on rating quality of evidence and strength of recommendations.</w:t>
      </w:r>
      <w:r>
        <w:t xml:space="preserve"> </w:t>
      </w:r>
      <w:r>
        <w:rPr>
          <w:i/>
          <w:iCs/>
        </w:rPr>
        <w:t xml:space="preserve">BMJ</w:t>
      </w:r>
      <w:r>
        <w:t xml:space="preserve">. 2008;336(7650):924-926. doi:10.1136/bmj.39489.470347.AD</w:t>
      </w:r>
    </w:p>
    <w:p>
      <w:pPr>
        <w:pStyle w:val="BodyText"/>
      </w:pPr>
      <w:r>
        <w:t xml:space="preserve">13. Nishizawa T, Matsumoto T, Todaka T, Sasano M, Kitagawa H, Shimabuku A. Nurse-Performed Ultrasound-Guided Technique for Difficult Peripheral Intravenous Access in Critically Ill Patients: A Randomized Controlled Trial.</w:t>
      </w:r>
      <w:r>
        <w:t xml:space="preserve"> </w:t>
      </w:r>
      <w:r>
        <w:rPr>
          <w:i/>
          <w:iCs/>
        </w:rPr>
        <w:t xml:space="preserve">J Assoc Vasc Access</w:t>
      </w:r>
      <w:r>
        <w:t xml:space="preserve">. 2020;25(2):34-39. doi:10.2309/j.java.2020.002.001</w:t>
      </w:r>
    </w:p>
    <w:p>
      <w:pPr>
        <w:pStyle w:val="BodyText"/>
      </w:pPr>
      <w:r>
        <w:t xml:space="preserve">14. Desai K, Vinograd AM, Abbadessa MKF, Chen AE. Longevity and Complication Rates of Ultrasound Guided Versus Traditional Peripheral Intravenous Catheters in a Pediatric Emergency Department.</w:t>
      </w:r>
      <w:r>
        <w:t xml:space="preserve"> </w:t>
      </w:r>
      <w:r>
        <w:rPr>
          <w:i/>
          <w:iCs/>
        </w:rPr>
        <w:t xml:space="preserve">J Assoc Vasc Access</w:t>
      </w:r>
      <w:r>
        <w:t xml:space="preserve">. 2018;23(3):149-154. doi:10.1016/j.java.2018.06.002</w:t>
      </w:r>
    </w:p>
    <w:p>
      <w:pPr>
        <w:pStyle w:val="BodyText"/>
      </w:pPr>
      <w:r>
        <w:t xml:space="preserve">15. Hartung J, Knapp G. On tests of the overall treatment effect in meta-analysis with normally distributed responses.</w:t>
      </w:r>
      <w:r>
        <w:t xml:space="preserve"> </w:t>
      </w:r>
      <w:r>
        <w:rPr>
          <w:i/>
          <w:iCs/>
        </w:rPr>
        <w:t xml:space="preserve">Stat Med</w:t>
      </w:r>
      <w:r>
        <w:t xml:space="preserve">. 2001;20(12):1771-1782. doi:10.1002/sim.791</w:t>
      </w:r>
    </w:p>
    <w:p>
      <w:r>
        <w:pict>
          <v:rect style="width:0;height:1.5pt" o:hralign="center" o:hrstd="t" o:hr="t"/>
        </w:pict>
      </w:r>
    </w:p>
    <w:bookmarkEnd w:id="35"/>
    <w:bookmarkStart w:id="42" w:name="tables-and-figures"/>
    <w:p>
      <w:pPr>
        <w:pStyle w:val="Heading2"/>
      </w:pPr>
      <w:r>
        <w:t xml:space="preserve">TABLES AND FIGURES</w:t>
      </w:r>
    </w:p>
    <w:bookmarkStart w:id="36" w:name="table-3.-grade-summary-of-findings"/>
    <w:p>
      <w:pPr>
        <w:pStyle w:val="Heading3"/>
      </w:pPr>
      <w:r>
        <w:t xml:space="preserve">Table 3. GRADE Summary of Findings</w:t>
      </w:r>
    </w:p>
    <w:tbl>
      <w:tblPr>
        <w:tblStyle w:val="Table"/>
        <w:tblW w:type="pct" w:w="5000"/>
        <w:tblLayout w:type="fixed"/>
        <w:tblLook w:firstRow="1" w:lastRow="0" w:firstColumn="0" w:lastColumn="0" w:noHBand="0" w:noVBand="0" w:val="0020"/>
      </w:tblPr>
      <w:tblGrid>
        <w:gridCol w:w="783"/>
        <w:gridCol w:w="1131"/>
        <w:gridCol w:w="1218"/>
        <w:gridCol w:w="2175"/>
        <w:gridCol w:w="957"/>
        <w:gridCol w:w="1653"/>
      </w:tblGrid>
      <w:tr>
        <w:trPr>
          <w:tblHeader w:val="on"/>
        </w:trPr>
        <w:tc>
          <w:tcPr/>
          <w:p>
            <w:pPr>
              <w:pStyle w:val="Compact"/>
            </w:pPr>
            <w:r>
              <w:t xml:space="preserve">Outcome</w:t>
            </w:r>
          </w:p>
        </w:tc>
        <w:tc>
          <w:tcPr/>
          <w:p>
            <w:pPr>
              <w:pStyle w:val="Compact"/>
            </w:pPr>
            <w:r>
              <w:t xml:space="preserve">Studies (k)</w:t>
            </w:r>
          </w:p>
        </w:tc>
        <w:tc>
          <w:tcPr/>
          <w:p>
            <w:pPr>
              <w:pStyle w:val="Compact"/>
            </w:pPr>
            <w:r>
              <w:t xml:space="preserve">Participants</w:t>
            </w:r>
          </w:p>
        </w:tc>
        <w:tc>
          <w:tcPr/>
          <w:p>
            <w:pPr>
              <w:pStyle w:val="Compact"/>
            </w:pPr>
            <w:r>
              <w:t xml:space="preserve">Effect Estimate (95% CI)</w:t>
            </w:r>
          </w:p>
        </w:tc>
        <w:tc>
          <w:tcPr/>
          <w:p>
            <w:pPr>
              <w:pStyle w:val="Compact"/>
            </w:pPr>
            <w:r>
              <w:t xml:space="preserve">Certainty</w:t>
            </w:r>
          </w:p>
        </w:tc>
        <w:tc>
          <w:tcPr/>
          <w:p>
            <w:pPr>
              <w:pStyle w:val="Compact"/>
            </w:pPr>
            <w:r>
              <w:t xml:space="preserve">Downgrade Reasons</w:t>
            </w:r>
          </w:p>
        </w:tc>
      </w:tr>
      <w:tr>
        <w:tc>
          <w:tcPr/>
          <w:p>
            <w:pPr>
              <w:pStyle w:val="Compact"/>
            </w:pPr>
            <w:r>
              <w:t xml:space="preserve">Catheter failure</w:t>
            </w:r>
          </w:p>
        </w:tc>
        <w:tc>
          <w:tcPr/>
          <w:p>
            <w:pPr>
              <w:pStyle w:val="Compact"/>
            </w:pPr>
            <w:r>
              <w:t xml:space="preserve">4 (2 RCTs, 2 cohorts)</w:t>
            </w:r>
          </w:p>
        </w:tc>
        <w:tc>
          <w:tcPr/>
          <w:p>
            <w:pPr>
              <w:pStyle w:val="Compact"/>
            </w:pPr>
            <w:r>
              <w:t xml:space="preserve">3,404</w:t>
            </w:r>
          </w:p>
        </w:tc>
        <w:tc>
          <w:tcPr/>
          <w:p>
            <w:pPr>
              <w:pStyle w:val="Compact"/>
            </w:pPr>
            <w:r>
              <w:t xml:space="preserve">RR 1.23 (0.99–1.51)</w:t>
            </w:r>
          </w:p>
        </w:tc>
        <w:tc>
          <w:tcPr/>
          <w:p>
            <w:pPr>
              <w:pStyle w:val="Compact"/>
            </w:pPr>
            <w:r>
              <w:t xml:space="preserve">⊕⊕◯◯</w:t>
            </w:r>
            <w:r>
              <w:t xml:space="preserve"> </w:t>
            </w:r>
            <w:r>
              <w:rPr>
                <w:b/>
                <w:bCs/>
              </w:rPr>
              <w:t xml:space="preserve">Low</w:t>
            </w:r>
          </w:p>
        </w:tc>
        <w:tc>
          <w:tcPr/>
          <w:p>
            <w:pPr>
              <w:pStyle w:val="Compact"/>
            </w:pPr>
            <w:r>
              <w:t xml:space="preserve">Serious risk of bias (1 high-risk RCT, 2 cohorts); serious imprecision (CI crosses unity)</w:t>
            </w:r>
          </w:p>
        </w:tc>
      </w:tr>
      <w:tr>
        <w:tc>
          <w:tcPr/>
          <w:p>
            <w:pPr>
              <w:pStyle w:val="Compact"/>
            </w:pPr>
            <w:r>
              <w:t xml:space="preserve">Dwell time</w:t>
            </w:r>
          </w:p>
        </w:tc>
        <w:tc>
          <w:tcPr/>
          <w:p>
            <w:pPr>
              <w:pStyle w:val="Compact"/>
            </w:pPr>
            <w:r>
              <w:t xml:space="preserve">3 (2 RCTs, 1 cohort)</w:t>
            </w:r>
          </w:p>
        </w:tc>
        <w:tc>
          <w:tcPr/>
          <w:p>
            <w:pPr>
              <w:pStyle w:val="Compact"/>
            </w:pPr>
            <w:r>
              <w:t xml:space="preserve">929</w:t>
            </w:r>
          </w:p>
        </w:tc>
        <w:tc>
          <w:tcPr/>
          <w:p>
            <w:pPr>
              <w:pStyle w:val="Compact"/>
            </w:pPr>
            <w:r>
              <w:t xml:space="preserve">Not pooled (I²=91.9%)</w:t>
            </w:r>
          </w:p>
        </w:tc>
        <w:tc>
          <w:tcPr/>
          <w:p>
            <w:pPr>
              <w:pStyle w:val="Compact"/>
            </w:pPr>
            <w:r>
              <w:t xml:space="preserve">⊕◯◯◯</w:t>
            </w:r>
            <w:r>
              <w:t xml:space="preserve"> </w:t>
            </w:r>
            <w:r>
              <w:rPr>
                <w:b/>
                <w:bCs/>
              </w:rPr>
              <w:t xml:space="preserve">Very low</w:t>
            </w:r>
          </w:p>
        </w:tc>
        <w:tc>
          <w:tcPr/>
          <w:p>
            <w:pPr>
              <w:pStyle w:val="Compact"/>
            </w:pPr>
            <w:r>
              <w:t xml:space="preserve">Very serious inconsistency (I²=91.9%); Serious risk of bias</w:t>
            </w:r>
          </w:p>
        </w:tc>
      </w:tr>
      <w:tr>
        <w:tc>
          <w:tcPr/>
          <w:p>
            <w:pPr>
              <w:pStyle w:val="Compact"/>
            </w:pPr>
            <w:r>
              <w:t xml:space="preserve">Infiltration</w:t>
            </w:r>
          </w:p>
        </w:tc>
        <w:tc>
          <w:tcPr/>
          <w:p>
            <w:pPr>
              <w:pStyle w:val="Compact"/>
            </w:pPr>
            <w:r>
              <w:t xml:space="preserve">2 (1 RCT, 1 cohort)</w:t>
            </w:r>
          </w:p>
        </w:tc>
        <w:tc>
          <w:tcPr/>
          <w:p>
            <w:pPr>
              <w:pStyle w:val="Compact"/>
            </w:pPr>
            <w:r>
              <w:t xml:space="preserve">2,778</w:t>
            </w:r>
          </w:p>
        </w:tc>
        <w:tc>
          <w:tcPr/>
          <w:p>
            <w:pPr>
              <w:pStyle w:val="Compact"/>
            </w:pPr>
            <w:r>
              <w:t xml:space="preserve">RR 0.68 (0.12–3.83)</w:t>
            </w:r>
          </w:p>
        </w:tc>
        <w:tc>
          <w:tcPr/>
          <w:p>
            <w:pPr>
              <w:pStyle w:val="Compact"/>
            </w:pPr>
            <w:r>
              <w:t xml:space="preserve">⊕◯◯◯</w:t>
            </w:r>
            <w:r>
              <w:t xml:space="preserve"> </w:t>
            </w:r>
            <w:r>
              <w:rPr>
                <w:b/>
                <w:bCs/>
              </w:rPr>
              <w:t xml:space="preserve">Very low</w:t>
            </w:r>
          </w:p>
        </w:tc>
        <w:tc>
          <w:tcPr/>
          <w:p>
            <w:pPr>
              <w:pStyle w:val="Compact"/>
            </w:pPr>
            <w:r>
              <w:t xml:space="preserve">Serious risk of bias (abstract only); serious inconsistency (I</w:t>
            </w:r>
            <w:r>
              <w:rPr>
                <w:vertAlign w:val="superscript"/>
              </w:rPr>
              <w:t xml:space="preserve">2</w:t>
            </w:r>
            <w:r>
              <w:t xml:space="preserve">=65.9%, conflicting directions); very serious imprecision</w:t>
            </w:r>
          </w:p>
        </w:tc>
      </w:tr>
      <w:tr>
        <w:tc>
          <w:tcPr/>
          <w:p>
            <w:pPr>
              <w:pStyle w:val="Compact"/>
            </w:pPr>
            <w:r>
              <w:t xml:space="preserve">Extravasation</w:t>
            </w:r>
          </w:p>
        </w:tc>
        <w:tc>
          <w:tcPr/>
          <w:p>
            <w:pPr>
              <w:pStyle w:val="Compact"/>
            </w:pPr>
            <w:r>
              <w:t xml:space="preserve">3 (2 RCTs, 1 cohort)</w:t>
            </w:r>
          </w:p>
        </w:tc>
        <w:tc>
          <w:tcPr/>
          <w:p>
            <w:pPr>
              <w:pStyle w:val="Compact"/>
            </w:pPr>
            <w:r>
              <w:t xml:space="preserve">29,682</w:t>
            </w:r>
          </w:p>
        </w:tc>
        <w:tc>
          <w:tcPr/>
          <w:p>
            <w:pPr>
              <w:pStyle w:val="Compact"/>
            </w:pPr>
            <w:r>
              <w:t xml:space="preserve">Not pooled — outcomes fundamentally incomparable (I</w:t>
            </w:r>
            <w:r>
              <w:rPr>
                <w:vertAlign w:val="superscript"/>
              </w:rPr>
              <w:t xml:space="preserve">2</w:t>
            </w:r>
            <w:r>
              <w:t xml:space="preserve">=95.7%); narrative synthesis only</w:t>
            </w:r>
          </w:p>
        </w:tc>
        <w:tc>
          <w:tcPr/>
          <w:p>
            <w:pPr>
              <w:pStyle w:val="Compact"/>
            </w:pPr>
            <w:r>
              <w:t xml:space="preserve">⊕◯◯◯</w:t>
            </w:r>
            <w:r>
              <w:t xml:space="preserve"> </w:t>
            </w:r>
            <w:r>
              <w:rPr>
                <w:b/>
                <w:bCs/>
              </w:rPr>
              <w:t xml:space="preserve">Very low</w:t>
            </w:r>
          </w:p>
        </w:tc>
        <w:tc>
          <w:tcPr/>
          <w:p>
            <w:pPr>
              <w:pStyle w:val="Compact"/>
            </w:pPr>
            <w:r>
              <w:t xml:space="preserve">Very serious inconsistency (I</w:t>
            </w:r>
            <w:r>
              <w:rPr>
                <w:vertAlign w:val="superscript"/>
              </w:rPr>
              <w:t xml:space="preserve">2</w:t>
            </w:r>
            <w:r>
              <w:t xml:space="preserve">=95.7%; incompatible populations and outcome definitions); serious indirectness; serious risk of bias</w:t>
            </w:r>
          </w:p>
        </w:tc>
      </w:tr>
      <w:tr>
        <w:tc>
          <w:tcPr/>
          <w:p>
            <w:pPr>
              <w:pStyle w:val="Compact"/>
            </w:pPr>
            <w:r>
              <w:t xml:space="preserve">Time-to-event-adjacent</w:t>
            </w:r>
          </w:p>
        </w:tc>
        <w:tc>
          <w:tcPr/>
          <w:p>
            <w:pPr>
              <w:pStyle w:val="Compact"/>
            </w:pPr>
            <w:r>
              <w:t xml:space="preserve">2 (2 cohorts)</w:t>
            </w:r>
          </w:p>
        </w:tc>
        <w:tc>
          <w:tcPr/>
          <w:p>
            <w:pPr>
              <w:pStyle w:val="Compact"/>
            </w:pPr>
            <w:r>
              <w:t xml:space="preserve">43,800</w:t>
            </w:r>
          </w:p>
        </w:tc>
        <w:tc>
          <w:tcPr/>
          <w:p>
            <w:pPr>
              <w:pStyle w:val="Compact"/>
            </w:pPr>
            <w:r>
              <w:t xml:space="preserve">Not pooled — Feinsmith adjusted HR 0.91 (0.87–0.95); Shokoohi 72-h RR 1.26 (0.88–1.80); different effect measures, narrative synthesis only</w:t>
            </w:r>
          </w:p>
        </w:tc>
        <w:tc>
          <w:tcPr/>
          <w:p>
            <w:pPr>
              <w:pStyle w:val="Compact"/>
            </w:pPr>
            <w:r>
              <w:t xml:space="preserve">⊕◯◯◯</w:t>
            </w:r>
            <w:r>
              <w:t xml:space="preserve"> </w:t>
            </w:r>
            <w:r>
              <w:rPr>
                <w:b/>
                <w:bCs/>
              </w:rPr>
              <w:t xml:space="preserve">Very low</w:t>
            </w:r>
          </w:p>
        </w:tc>
        <w:tc>
          <w:tcPr/>
          <w:p>
            <w:pPr>
              <w:pStyle w:val="Compact"/>
            </w:pPr>
            <w:r>
              <w:t xml:space="preserve">Different effect measures (HR vs cumulative-incidence RR); serious risk of bias (observational); conflicting directions; serious imprecision</w:t>
            </w:r>
          </w:p>
        </w:tc>
      </w:tr>
    </w:tbl>
    <w:p>
      <w:pPr>
        <w:pStyle w:val="BodyText"/>
      </w:pPr>
      <w:r>
        <w:t xml:space="preserve">GRADE certainty ratings: ⊕⊕⊕⊕ High; ⊕⊕⊕◯ Moderate; ⊕⊕◯◯ Low; ⊕◯◯◯ Very low.</w:t>
      </w:r>
      <w:r>
        <w:rPr>
          <w:vertAlign w:val="superscript"/>
        </w:rPr>
        <w:t xml:space="preserve">12</w:t>
      </w:r>
    </w:p>
    <w:bookmarkEnd w:id="36"/>
    <w:bookmarkStart w:id="37" w:name="Xfceeb2a50c5c70c9e7b21a746913c96cfd2ac21"/>
    <w:p>
      <w:pPr>
        <w:pStyle w:val="Heading3"/>
      </w:pPr>
      <w:r>
        <w:t xml:space="preserve">Table 1. Characteristics of Included Studies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Study</w:t>
            </w:r>
          </w:p>
        </w:tc>
        <w:tc>
          <w:tcPr/>
          <w:p>
            <w:pPr>
              <w:pStyle w:val="Compact"/>
            </w:pPr>
            <w:r>
              <w:t xml:space="preserve">Year</w:t>
            </w:r>
          </w:p>
        </w:tc>
        <w:tc>
          <w:tcPr/>
          <w:p>
            <w:pPr>
              <w:pStyle w:val="Compact"/>
            </w:pPr>
            <w:r>
              <w:t xml:space="preserve">Country</w:t>
            </w:r>
          </w:p>
        </w:tc>
        <w:tc>
          <w:tcPr/>
          <w:p>
            <w:pPr>
              <w:pStyle w:val="Compact"/>
            </w:pPr>
            <w:r>
              <w:t xml:space="preserve">Design</w:t>
            </w:r>
          </w:p>
        </w:tc>
        <w:tc>
          <w:tcPr/>
          <w:p>
            <w:pPr>
              <w:pStyle w:val="Compact"/>
            </w:pPr>
            <w:r>
              <w:t xml:space="preserve">Setting</w:t>
            </w:r>
          </w:p>
        </w:tc>
        <w:tc>
          <w:tcPr/>
          <w:p>
            <w:pPr>
              <w:pStyle w:val="Compact"/>
            </w:pPr>
            <w:r>
              <w:t xml:space="preserve">Population</w:t>
            </w:r>
          </w:p>
        </w:tc>
        <w:tc>
          <w:tcPr/>
          <w:p>
            <w:pPr>
              <w:pStyle w:val="Compact"/>
            </w:pPr>
            <w:r>
              <w:t xml:space="preserve">N (USG/LM)</w:t>
            </w:r>
          </w:p>
        </w:tc>
        <w:tc>
          <w:tcPr/>
          <w:p>
            <w:pPr>
              <w:pStyle w:val="Compact"/>
            </w:pPr>
            <w:r>
              <w:t xml:space="preserve">DIVA Only</w:t>
            </w:r>
          </w:p>
        </w:tc>
        <w:tc>
          <w:tcPr/>
          <w:p>
            <w:pPr>
              <w:pStyle w:val="Compact"/>
            </w:pPr>
            <w:r>
              <w:t xml:space="preserve">Catheter Confounded</w:t>
            </w:r>
          </w:p>
        </w:tc>
        <w:tc>
          <w:tcPr/>
          <w:p>
            <w:pPr>
              <w:pStyle w:val="Compact"/>
            </w:pPr>
            <w:r>
              <w:t xml:space="preserve">Follow-up</w:t>
            </w:r>
          </w:p>
        </w:tc>
        <w:tc>
          <w:tcPr/>
          <w:p>
            <w:pPr>
              <w:pStyle w:val="Compact"/>
            </w:pPr>
            <w:r>
              <w:t xml:space="preserve">Primary Post-insertion Outcome</w:t>
            </w:r>
          </w:p>
        </w:tc>
        <w:tc>
          <w:tcPr/>
          <w:p>
            <w:pPr>
              <w:pStyle w:val="Compact"/>
            </w:pPr>
            <w:r>
              <w:t xml:space="preserve">Key Finding</w:t>
            </w:r>
          </w:p>
        </w:tc>
      </w:tr>
      <w:tr>
        <w:tc>
          <w:tcPr/>
          <w:p>
            <w:pPr>
              <w:pStyle w:val="Compact"/>
            </w:pPr>
            <w:r>
              <w:t xml:space="preserve">Kleidon TM</w:t>
            </w:r>
          </w:p>
        </w:tc>
        <w:tc>
          <w:tcPr/>
          <w:p>
            <w:pPr>
              <w:pStyle w:val="Compact"/>
            </w:pPr>
            <w:r>
              <w:t xml:space="preserve">2025</w:t>
            </w:r>
          </w:p>
        </w:tc>
        <w:tc>
          <w:tcPr/>
          <w:p>
            <w:pPr>
              <w:pStyle w:val="Compact"/>
            </w:pPr>
            <w:r>
              <w:t xml:space="preserve">Australia</w:t>
            </w:r>
          </w:p>
        </w:tc>
        <w:tc>
          <w:tcPr/>
          <w:p>
            <w:pPr>
              <w:pStyle w:val="Compact"/>
            </w:pPr>
            <w:r>
              <w:t xml:space="preserve">RCT</w:t>
            </w:r>
          </w:p>
        </w:tc>
        <w:tc>
          <w:tcPr/>
          <w:p>
            <w:pPr>
              <w:pStyle w:val="Compact"/>
            </w:pPr>
            <w:r>
              <w:t xml:space="preserve">Quaternary children’s hospital</w:t>
            </w:r>
          </w:p>
        </w:tc>
        <w:tc>
          <w:tcPr/>
          <w:p>
            <w:pPr>
              <w:pStyle w:val="Compact"/>
            </w:pPr>
            <w:r>
              <w:t xml:space="preserve">Paediatric 0-18y</w:t>
            </w:r>
          </w:p>
        </w:tc>
        <w:tc>
          <w:tcPr/>
          <w:p>
            <w:pPr>
              <w:pStyle w:val="Compact"/>
            </w:pPr>
            <w:r>
              <w:t xml:space="preserve">84/80</w:t>
            </w:r>
          </w:p>
        </w:tc>
        <w:tc>
          <w:tcPr/>
          <w:p>
            <w:pPr>
              <w:pStyle w:val="Compact"/>
            </w:pPr>
            <w:r>
              <w:t xml:space="preserve">No</w:t>
            </w:r>
          </w:p>
        </w:tc>
        <w:tc>
          <w:tcPr/>
          <w:p>
            <w:pPr>
              <w:pStyle w:val="Compact"/>
            </w:pPr>
            <w:r>
              <w:t xml:space="preserve">No</w:t>
            </w:r>
          </w:p>
        </w:tc>
        <w:tc>
          <w:tcPr/>
          <w:p>
            <w:pPr>
              <w:pStyle w:val="Compact"/>
            </w:pPr>
            <w:r>
              <w:t xml:space="preserve">Until removal</w:t>
            </w:r>
          </w:p>
        </w:tc>
        <w:tc>
          <w:tcPr/>
          <w:p>
            <w:pPr>
              <w:pStyle w:val="Compact"/>
            </w:pPr>
            <w:r>
              <w:t xml:space="preserve">PIVC failure, dwell time</w:t>
            </w:r>
          </w:p>
        </w:tc>
        <w:tc>
          <w:tcPr/>
          <w:p>
            <w:pPr>
              <w:pStyle w:val="Compact"/>
            </w:pPr>
            <w:r>
              <w:t xml:space="preserve">Failure 23.8% vs 25.0% (NS); Dwell 47.1 vs 47.7h (NS)</w:t>
            </w:r>
          </w:p>
        </w:tc>
      </w:tr>
      <w:tr>
        <w:tc>
          <w:tcPr/>
          <w:p>
            <w:pPr>
              <w:pStyle w:val="Compact"/>
            </w:pPr>
            <w:r>
              <w:t xml:space="preserve">Bridey C</w:t>
            </w:r>
          </w:p>
        </w:tc>
        <w:tc>
          <w:tcPr/>
          <w:p>
            <w:pPr>
              <w:pStyle w:val="Compact"/>
            </w:pPr>
            <w:r>
              <w:t xml:space="preserve">2018</w:t>
            </w:r>
          </w:p>
        </w:tc>
        <w:tc>
          <w:tcPr/>
          <w:p>
            <w:pPr>
              <w:pStyle w:val="Compact"/>
            </w:pPr>
            <w:r>
              <w:t xml:space="preserve">France</w:t>
            </w:r>
          </w:p>
        </w:tc>
        <w:tc>
          <w:tcPr/>
          <w:p>
            <w:pPr>
              <w:pStyle w:val="Compact"/>
            </w:pPr>
            <w:r>
              <w:t xml:space="preserve">RCT</w:t>
            </w:r>
          </w:p>
        </w:tc>
        <w:tc>
          <w:tcPr/>
          <w:p>
            <w:pPr>
              <w:pStyle w:val="Compact"/>
            </w:pPr>
            <w:r>
              <w:t xml:space="preserve">Tertiary ICU</w:t>
            </w:r>
          </w:p>
        </w:tc>
        <w:tc>
          <w:tcPr/>
          <w:p>
            <w:pPr>
              <w:pStyle w:val="Compact"/>
            </w:pPr>
            <w:r>
              <w:t xml:space="preserve">Adult ICU (DIVA)</w:t>
            </w:r>
          </w:p>
        </w:tc>
        <w:tc>
          <w:tcPr/>
          <w:p>
            <w:pPr>
              <w:pStyle w:val="Compact"/>
            </w:pPr>
            <w:r>
              <w:t xml:space="preserve">57/57</w:t>
            </w:r>
          </w:p>
        </w:tc>
        <w:tc>
          <w:tcPr/>
          <w:p>
            <w:pPr>
              <w:pStyle w:val="Compact"/>
            </w:pPr>
            <w:r>
              <w:t xml:space="preserve">Yes</w:t>
            </w:r>
          </w:p>
        </w:tc>
        <w:tc>
          <w:tcPr/>
          <w:p>
            <w:pPr>
              <w:pStyle w:val="Compact"/>
            </w:pPr>
            <w:r>
              <w:t xml:space="preserve">No</w:t>
            </w:r>
          </w:p>
        </w:tc>
        <w:tc>
          <w:tcPr/>
          <w:p>
            <w:pPr>
              <w:pStyle w:val="Compact"/>
            </w:pPr>
            <w:r>
              <w:t xml:space="preserve">Max 3 days</w:t>
            </w:r>
          </w:p>
        </w:tc>
        <w:tc>
          <w:tcPr/>
          <w:p>
            <w:pPr>
              <w:pStyle w:val="Compact"/>
            </w:pPr>
            <w:r>
              <w:t xml:space="preserve">Catheter lifespan, extravasation</w:t>
            </w:r>
          </w:p>
        </w:tc>
        <w:tc>
          <w:tcPr/>
          <w:p>
            <w:pPr>
              <w:pStyle w:val="Compact"/>
            </w:pPr>
            <w:r>
              <w:t xml:space="preserve">Lifespan 3 vs 3 days (NS); Extravasation 34% vs 18% (p=0.094)</w:t>
            </w:r>
          </w:p>
        </w:tc>
      </w:tr>
      <w:tr>
        <w:tc>
          <w:tcPr/>
          <w:p>
            <w:pPr>
              <w:pStyle w:val="Compact"/>
            </w:pPr>
            <w:r>
              <w:t xml:space="preserve">Feinsmith SE</w:t>
            </w:r>
          </w:p>
        </w:tc>
        <w:tc>
          <w:tcPr/>
          <w:p>
            <w:pPr>
              <w:pStyle w:val="Compact"/>
            </w:pPr>
            <w:r>
              <w:t xml:space="preserve">2021</w:t>
            </w:r>
          </w:p>
        </w:tc>
        <w:tc>
          <w:tcPr/>
          <w:p>
            <w:pPr>
              <w:pStyle w:val="Compact"/>
            </w:pPr>
            <w:r>
              <w:t xml:space="preserve">USA</w:t>
            </w:r>
          </w:p>
        </w:tc>
        <w:tc>
          <w:tcPr/>
          <w:p>
            <w:pPr>
              <w:pStyle w:val="Compact"/>
            </w:pPr>
            <w:r>
              <w:t xml:space="preserve">Retrospective cohort</w:t>
            </w:r>
          </w:p>
        </w:tc>
        <w:tc>
          <w:tcPr/>
          <w:p>
            <w:pPr>
              <w:pStyle w:val="Compact"/>
            </w:pPr>
            <w:r>
              <w:t xml:space="preserve">Tertiary academic centre</w:t>
            </w:r>
          </w:p>
        </w:tc>
        <w:tc>
          <w:tcPr/>
          <w:p>
            <w:pPr>
              <w:pStyle w:val="Compact"/>
            </w:pPr>
            <w:r>
              <w:t xml:space="preserve">Adult (DIVA)</w:t>
            </w:r>
          </w:p>
        </w:tc>
        <w:tc>
          <w:tcPr/>
          <w:p>
            <w:pPr>
              <w:pStyle w:val="Compact"/>
            </w:pPr>
            <w:r>
              <w:t xml:space="preserve">7,972/35,498</w:t>
            </w:r>
          </w:p>
        </w:tc>
        <w:tc>
          <w:tcPr/>
          <w:p>
            <w:pPr>
              <w:pStyle w:val="Compact"/>
            </w:pPr>
            <w:r>
              <w:t xml:space="preserve">Yes</w:t>
            </w:r>
          </w:p>
        </w:tc>
        <w:tc>
          <w:tcPr/>
          <w:p>
            <w:pPr>
              <w:pStyle w:val="Compact"/>
            </w:pPr>
            <w:r>
              <w:t xml:space="preserve">No</w:t>
            </w:r>
          </w:p>
        </w:tc>
        <w:tc>
          <w:tcPr/>
          <w:p>
            <w:pPr>
              <w:pStyle w:val="Compact"/>
            </w:pPr>
            <w:r>
              <w:t xml:space="preserve">30 days</w:t>
            </w:r>
          </w:p>
        </w:tc>
        <w:tc>
          <w:tcPr/>
          <w:p>
            <w:pPr>
              <w:pStyle w:val="Compact"/>
            </w:pPr>
            <w:r>
              <w:t xml:space="preserve">KM survival, HR</w:t>
            </w:r>
          </w:p>
        </w:tc>
        <w:tc>
          <w:tcPr/>
          <w:p>
            <w:pPr>
              <w:pStyle w:val="Compact"/>
            </w:pPr>
            <w:r>
              <w:t xml:space="preserve">Adjusted HR 0.91 (0.87-0.95) favoring USG</w:t>
            </w:r>
          </w:p>
        </w:tc>
      </w:tr>
      <w:tr>
        <w:tc>
          <w:tcPr/>
          <w:p>
            <w:pPr>
              <w:pStyle w:val="Compact"/>
            </w:pPr>
            <w:r>
              <w:t xml:space="preserve">Dachepally R</w:t>
            </w:r>
          </w:p>
        </w:tc>
        <w:tc>
          <w:tcPr/>
          <w:p>
            <w:pPr>
              <w:pStyle w:val="Compact"/>
            </w:pPr>
            <w:r>
              <w:t xml:space="preserve">2023</w:t>
            </w:r>
          </w:p>
        </w:tc>
        <w:tc>
          <w:tcPr/>
          <w:p>
            <w:pPr>
              <w:pStyle w:val="Compact"/>
            </w:pPr>
            <w:r>
              <w:t xml:space="preserve">USA</w:t>
            </w:r>
          </w:p>
        </w:tc>
        <w:tc>
          <w:tcPr/>
          <w:p>
            <w:pPr>
              <w:pStyle w:val="Compact"/>
            </w:pPr>
            <w:r>
              <w:t xml:space="preserve">Retrospective cohort</w:t>
            </w:r>
          </w:p>
        </w:tc>
        <w:tc>
          <w:tcPr/>
          <w:p>
            <w:pPr>
              <w:pStyle w:val="Compact"/>
            </w:pPr>
            <w:r>
              <w:t xml:space="preserve">Paediatric ICU</w:t>
            </w:r>
          </w:p>
        </w:tc>
        <w:tc>
          <w:tcPr/>
          <w:p>
            <w:pPr>
              <w:pStyle w:val="Compact"/>
            </w:pPr>
            <w:r>
              <w:t xml:space="preserve">Paediatric ICU (DIVA)</w:t>
            </w:r>
          </w:p>
        </w:tc>
        <w:tc>
          <w:tcPr/>
          <w:p>
            <w:pPr>
              <w:pStyle w:val="Compact"/>
            </w:pPr>
            <w:r>
              <w:t xml:space="preserve">99/88</w:t>
            </w:r>
          </w:p>
        </w:tc>
        <w:tc>
          <w:tcPr/>
          <w:p>
            <w:pPr>
              <w:pStyle w:val="Compact"/>
            </w:pPr>
            <w:r>
              <w:t xml:space="preserve">Yes</w:t>
            </w:r>
          </w:p>
        </w:tc>
        <w:tc>
          <w:tcPr/>
          <w:p>
            <w:pPr>
              <w:pStyle w:val="Compact"/>
            </w:pPr>
            <w:r>
              <w:t xml:space="preserve">Yes*</w:t>
            </w:r>
          </w:p>
        </w:tc>
        <w:tc>
          <w:tcPr/>
          <w:p>
            <w:pPr>
              <w:pStyle w:val="Compact"/>
            </w:pPr>
            <w:r>
              <w:t xml:space="preserve">Until removal</w:t>
            </w:r>
          </w:p>
        </w:tc>
        <w:tc>
          <w:tcPr/>
          <w:p>
            <w:pPr>
              <w:pStyle w:val="Compact"/>
            </w:pPr>
            <w:r>
              <w:t xml:space="preserve">Dwell time, IV failure</w:t>
            </w:r>
          </w:p>
        </w:tc>
        <w:tc>
          <w:tcPr/>
          <w:p>
            <w:pPr>
              <w:pStyle w:val="Compact"/>
            </w:pPr>
            <w:r>
              <w:t xml:space="preserve">Median 219 vs 108h (p&lt;0.001); HR 2.20 (1.45-3.34)</w:t>
            </w:r>
          </w:p>
        </w:tc>
      </w:tr>
      <w:tr>
        <w:tc>
          <w:tcPr/>
          <w:p>
            <w:pPr>
              <w:pStyle w:val="Compact"/>
            </w:pPr>
            <w:r>
              <w:t xml:space="preserve">Shokoohi H</w:t>
            </w:r>
          </w:p>
        </w:tc>
        <w:tc>
          <w:tcPr/>
          <w:p>
            <w:pPr>
              <w:pStyle w:val="Compact"/>
            </w:pPr>
            <w:r>
              <w:t xml:space="preserve">2019</w:t>
            </w:r>
          </w:p>
        </w:tc>
        <w:tc>
          <w:tcPr/>
          <w:p>
            <w:pPr>
              <w:pStyle w:val="Compact"/>
            </w:pPr>
            <w:r>
              <w:t xml:space="preserve">USA</w:t>
            </w:r>
          </w:p>
        </w:tc>
        <w:tc>
          <w:tcPr/>
          <w:p>
            <w:pPr>
              <w:pStyle w:val="Compact"/>
            </w:pPr>
            <w:r>
              <w:t xml:space="preserve">Prospective cohort</w:t>
            </w:r>
          </w:p>
        </w:tc>
        <w:tc>
          <w:tcPr/>
          <w:p>
            <w:pPr>
              <w:pStyle w:val="Compact"/>
            </w:pPr>
            <w:r>
              <w:t xml:space="preserve">Tertiary ED</w:t>
            </w:r>
          </w:p>
        </w:tc>
        <w:tc>
          <w:tcPr/>
          <w:p>
            <w:pPr>
              <w:pStyle w:val="Compact"/>
            </w:pPr>
            <w:r>
              <w:t xml:space="preserve">Adult ED (all access)</w:t>
            </w:r>
          </w:p>
        </w:tc>
        <w:tc>
          <w:tcPr/>
          <w:p>
            <w:pPr>
              <w:pStyle w:val="Compact"/>
            </w:pPr>
            <w:r>
              <w:t xml:space="preserve">182/148</w:t>
            </w:r>
          </w:p>
        </w:tc>
        <w:tc>
          <w:tcPr/>
          <w:p>
            <w:pPr>
              <w:pStyle w:val="Compact"/>
            </w:pPr>
            <w:r>
              <w:t xml:space="preserve">No</w:t>
            </w:r>
          </w:p>
        </w:tc>
        <w:tc>
          <w:tcPr/>
          <w:p>
            <w:pPr>
              <w:pStyle w:val="Compact"/>
            </w:pPr>
            <w:r>
              <w:t xml:space="preserve">No</w:t>
            </w:r>
          </w:p>
        </w:tc>
        <w:tc>
          <w:tcPr/>
          <w:p>
            <w:pPr>
              <w:pStyle w:val="Compact"/>
            </w:pPr>
            <w:r>
              <w:t xml:space="preserve">72 hours</w:t>
            </w:r>
          </w:p>
        </w:tc>
        <w:tc>
          <w:tcPr/>
          <w:p>
            <w:pPr>
              <w:pStyle w:val="Compact"/>
            </w:pPr>
            <w:r>
              <w:t xml:space="preserve">Premature removal</w:t>
            </w:r>
          </w:p>
        </w:tc>
        <w:tc>
          <w:tcPr/>
          <w:p>
            <w:pPr>
              <w:pStyle w:val="Compact"/>
            </w:pPr>
            <w:r>
              <w:t xml:space="preserve">27% vs 21% (RR 1.26, 0.88-1.80, NS)</w:t>
            </w:r>
          </w:p>
        </w:tc>
      </w:tr>
      <w:tr>
        <w:tc>
          <w:tcPr/>
          <w:p>
            <w:pPr>
              <w:pStyle w:val="Compact"/>
            </w:pPr>
            <w:r>
              <w:t xml:space="preserve">Favot M</w:t>
            </w:r>
          </w:p>
        </w:tc>
        <w:tc>
          <w:tcPr/>
          <w:p>
            <w:pPr>
              <w:pStyle w:val="Compact"/>
            </w:pPr>
            <w:r>
              <w:t xml:space="preserve">2019</w:t>
            </w:r>
          </w:p>
        </w:tc>
        <w:tc>
          <w:tcPr/>
          <w:p>
            <w:pPr>
              <w:pStyle w:val="Compact"/>
            </w:pPr>
            <w:r>
              <w:t xml:space="preserve">USA</w:t>
            </w:r>
          </w:p>
        </w:tc>
        <w:tc>
          <w:tcPr/>
          <w:p>
            <w:pPr>
              <w:pStyle w:val="Compact"/>
            </w:pPr>
            <w:r>
              <w:t xml:space="preserve">Retrospective cohort</w:t>
            </w:r>
          </w:p>
        </w:tc>
        <w:tc>
          <w:tcPr/>
          <w:p>
            <w:pPr>
              <w:pStyle w:val="Compact"/>
            </w:pPr>
            <w:r>
              <w:t xml:space="preserve">Tertiary ED</w:t>
            </w:r>
          </w:p>
        </w:tc>
        <w:tc>
          <w:tcPr/>
          <w:p>
            <w:pPr>
              <w:pStyle w:val="Compact"/>
            </w:pPr>
            <w:r>
              <w:t xml:space="preserve">Adult ED (CT contrast)</w:t>
            </w:r>
          </w:p>
        </w:tc>
        <w:tc>
          <w:tcPr/>
          <w:p>
            <w:pPr>
              <w:pStyle w:val="Compact"/>
            </w:pPr>
            <w:r>
              <w:t xml:space="preserve">291/29,217</w:t>
            </w:r>
          </w:p>
        </w:tc>
        <w:tc>
          <w:tcPr/>
          <w:p>
            <w:pPr>
              <w:pStyle w:val="Compact"/>
            </w:pPr>
            <w:r>
              <w:t xml:space="preserve">No</w:t>
            </w:r>
          </w:p>
        </w:tc>
        <w:tc>
          <w:tcPr/>
          <w:p>
            <w:pPr>
              <w:pStyle w:val="Compact"/>
            </w:pPr>
            <w:r>
              <w:t xml:space="preserve">No</w:t>
            </w:r>
          </w:p>
        </w:tc>
        <w:tc>
          <w:tcPr/>
          <w:p>
            <w:pPr>
              <w:pStyle w:val="Compact"/>
            </w:pPr>
            <w:r>
              <w:t xml:space="preserve">33 months</w:t>
            </w:r>
          </w:p>
        </w:tc>
        <w:tc>
          <w:tcPr/>
          <w:p>
            <w:pPr>
              <w:pStyle w:val="Compact"/>
            </w:pPr>
            <w:r>
              <w:t xml:space="preserve">Contrast extravasation</w:t>
            </w:r>
          </w:p>
        </w:tc>
        <w:tc>
          <w:tcPr/>
          <w:p>
            <w:pPr>
              <w:pStyle w:val="Compact"/>
            </w:pPr>
            <w:r>
              <w:t xml:space="preserve">4.1% vs 0.21% (RR 19.4, 10.6-35.6)</w:t>
            </w:r>
          </w:p>
        </w:tc>
      </w:tr>
      <w:tr>
        <w:tc>
          <w:tcPr/>
          <w:p>
            <w:pPr>
              <w:pStyle w:val="Compact"/>
            </w:pPr>
            <w:r>
              <w:t xml:space="preserve">Varghese S</w:t>
            </w:r>
          </w:p>
        </w:tc>
        <w:tc>
          <w:tcPr/>
          <w:p>
            <w:pPr>
              <w:pStyle w:val="Compact"/>
            </w:pPr>
            <w:r>
              <w:t xml:space="preserve">2025</w:t>
            </w:r>
          </w:p>
        </w:tc>
        <w:tc>
          <w:tcPr/>
          <w:p>
            <w:pPr>
              <w:pStyle w:val="Compact"/>
            </w:pPr>
            <w:r>
              <w:t xml:space="preserve">India</w:t>
            </w:r>
          </w:p>
        </w:tc>
        <w:tc>
          <w:tcPr/>
          <w:p>
            <w:pPr>
              <w:pStyle w:val="Compact"/>
            </w:pPr>
            <w:r>
              <w:t xml:space="preserve">RCT</w:t>
            </w:r>
          </w:p>
        </w:tc>
        <w:tc>
          <w:tcPr/>
          <w:p>
            <w:pPr>
              <w:pStyle w:val="Compact"/>
            </w:pPr>
            <w:r>
              <w:t xml:space="preserve">Tertiary paediatric ED</w:t>
            </w:r>
          </w:p>
        </w:tc>
        <w:tc>
          <w:tcPr/>
          <w:p>
            <w:pPr>
              <w:pStyle w:val="Compact"/>
            </w:pPr>
            <w:r>
              <w:t xml:space="preserve">Paediatric 1mo-17y</w:t>
            </w:r>
          </w:p>
        </w:tc>
        <w:tc>
          <w:tcPr/>
          <w:p>
            <w:pPr>
              <w:pStyle w:val="Compact"/>
            </w:pPr>
            <w:r>
              <w:t xml:space="preserve">45/45</w:t>
            </w:r>
          </w:p>
        </w:tc>
        <w:tc>
          <w:tcPr/>
          <w:p>
            <w:pPr>
              <w:pStyle w:val="Compact"/>
            </w:pPr>
            <w:r>
              <w:t xml:space="preserve">Mixed</w:t>
            </w:r>
          </w:p>
        </w:tc>
        <w:tc>
          <w:tcPr/>
          <w:p>
            <w:pPr>
              <w:pStyle w:val="Compact"/>
            </w:pPr>
            <w:r>
              <w:t xml:space="preserve">No</w:t>
            </w:r>
          </w:p>
        </w:tc>
        <w:tc>
          <w:tcPr/>
          <w:p>
            <w:pPr>
              <w:pStyle w:val="Compact"/>
            </w:pPr>
            <w:r>
              <w:t xml:space="preserve">2 hours</w:t>
            </w:r>
          </w:p>
        </w:tc>
        <w:tc>
          <w:tcPr/>
          <w:p>
            <w:pPr>
              <w:pStyle w:val="Compact"/>
            </w:pPr>
            <w:r>
              <w:t xml:space="preserve">Catheter patency, complications</w:t>
            </w:r>
          </w:p>
        </w:tc>
        <w:tc>
          <w:tcPr/>
          <w:p>
            <w:pPr>
              <w:pStyle w:val="Compact"/>
            </w:pPr>
            <w:r>
              <w:t xml:space="preserve">Patency 97.78% vs 84.44% (p=0.03)</w:t>
            </w:r>
          </w:p>
        </w:tc>
      </w:tr>
      <w:tr>
        <w:tc>
          <w:tcPr/>
          <w:p>
            <w:pPr>
              <w:pStyle w:val="Compact"/>
            </w:pPr>
            <w:r>
              <w:t xml:space="preserve">Leroux S</w:t>
            </w:r>
          </w:p>
        </w:tc>
        <w:tc>
          <w:tcPr/>
          <w:p>
            <w:pPr>
              <w:pStyle w:val="Compact"/>
            </w:pPr>
            <w:r>
              <w:t xml:space="preserve">2023</w:t>
            </w:r>
          </w:p>
        </w:tc>
        <w:tc>
          <w:tcPr/>
          <w:p>
            <w:pPr>
              <w:pStyle w:val="Compact"/>
            </w:pPr>
            <w:r>
              <w:t xml:space="preserve">USA</w:t>
            </w:r>
          </w:p>
        </w:tc>
        <w:tc>
          <w:tcPr/>
          <w:p>
            <w:pPr>
              <w:pStyle w:val="Compact"/>
            </w:pPr>
            <w:r>
              <w:t xml:space="preserve">RCT</w:t>
            </w:r>
          </w:p>
        </w:tc>
        <w:tc>
          <w:tcPr/>
          <w:p>
            <w:pPr>
              <w:pStyle w:val="Compact"/>
            </w:pPr>
            <w:r>
              <w:t xml:space="preserve">Tertiary ED</w:t>
            </w:r>
          </w:p>
        </w:tc>
        <w:tc>
          <w:tcPr/>
          <w:p>
            <w:pPr>
              <w:pStyle w:val="Compact"/>
            </w:pPr>
            <w:r>
              <w:t xml:space="preserve">Adult ED</w:t>
            </w:r>
          </w:p>
        </w:tc>
        <w:tc>
          <w:tcPr/>
          <w:p>
            <w:pPr>
              <w:pStyle w:val="Compact"/>
            </w:pPr>
            <w:r>
              <w:t xml:space="preserve">106/116</w:t>
            </w:r>
          </w:p>
        </w:tc>
        <w:tc>
          <w:tcPr/>
          <w:p>
            <w:pPr>
              <w:pStyle w:val="Compact"/>
            </w:pPr>
            <w:r>
              <w:t xml:space="preserve">No</w:t>
            </w:r>
          </w:p>
        </w:tc>
        <w:tc>
          <w:tcPr/>
          <w:p>
            <w:pPr>
              <w:pStyle w:val="Compact"/>
            </w:pPr>
            <w:r>
              <w:t xml:space="preserve">No</w:t>
            </w:r>
          </w:p>
        </w:tc>
        <w:tc>
          <w:tcPr/>
          <w:p>
            <w:pPr>
              <w:pStyle w:val="Compact"/>
            </w:pPr>
            <w:r>
              <w:t xml:space="preserve">48-96h</w:t>
            </w:r>
          </w:p>
        </w:tc>
        <w:tc>
          <w:tcPr/>
          <w:p>
            <w:pPr>
              <w:pStyle w:val="Compact"/>
            </w:pPr>
            <w:r>
              <w:t xml:space="preserve">Postinsertion failure, utility time</w:t>
            </w:r>
          </w:p>
        </w:tc>
        <w:tc>
          <w:tcPr/>
          <w:p>
            <w:pPr>
              <w:pStyle w:val="Compact"/>
            </w:pPr>
            <w:r>
              <w:t xml:space="preserve">Failure 11.3% vs 9.5% (NS); Utility 23.5 vs 24.7h (NS)</w:t>
            </w:r>
          </w:p>
        </w:tc>
      </w:tr>
      <w:tr>
        <w:tc>
          <w:tcPr/>
          <w:p>
            <w:pPr>
              <w:pStyle w:val="Compact"/>
            </w:pPr>
            <w:r>
              <w:t xml:space="preserve">Paladini A</w:t>
            </w:r>
          </w:p>
        </w:tc>
        <w:tc>
          <w:tcPr/>
          <w:p>
            <w:pPr>
              <w:pStyle w:val="Compact"/>
            </w:pPr>
            <w:r>
              <w:t xml:space="preserve">2018</w:t>
            </w:r>
          </w:p>
        </w:tc>
        <w:tc>
          <w:tcPr/>
          <w:p>
            <w:pPr>
              <w:pStyle w:val="Compact"/>
            </w:pPr>
            <w:r>
              <w:t xml:space="preserve">Italy</w:t>
            </w:r>
          </w:p>
        </w:tc>
        <w:tc>
          <w:tcPr/>
          <w:p>
            <w:pPr>
              <w:pStyle w:val="Compact"/>
            </w:pPr>
            <w:r>
              <w:t xml:space="preserve">Prospective cohort</w:t>
            </w:r>
          </w:p>
        </w:tc>
        <w:tc>
          <w:tcPr/>
          <w:p>
            <w:pPr>
              <w:pStyle w:val="Compact"/>
            </w:pPr>
            <w:r>
              <w:t xml:space="preserve">Paediatric ED</w:t>
            </w:r>
          </w:p>
        </w:tc>
        <w:tc>
          <w:tcPr/>
          <w:p>
            <w:pPr>
              <w:pStyle w:val="Compact"/>
            </w:pPr>
            <w:r>
              <w:t xml:space="preserve">Paediatric ED (DIVA) &gt;10y</w:t>
            </w:r>
          </w:p>
        </w:tc>
        <w:tc>
          <w:tcPr/>
          <w:p>
            <w:pPr>
              <w:pStyle w:val="Compact"/>
            </w:pPr>
            <w:r>
              <w:t xml:space="preserve">20/20</w:t>
            </w:r>
          </w:p>
        </w:tc>
        <w:tc>
          <w:tcPr/>
          <w:p>
            <w:pPr>
              <w:pStyle w:val="Compact"/>
            </w:pPr>
            <w:r>
              <w:t xml:space="preserve">Yes</w:t>
            </w:r>
          </w:p>
        </w:tc>
        <w:tc>
          <w:tcPr/>
          <w:p>
            <w:pPr>
              <w:pStyle w:val="Compact"/>
            </w:pPr>
            <w:r>
              <w:t xml:space="preserve">Yes*</w:t>
            </w:r>
          </w:p>
        </w:tc>
        <w:tc>
          <w:tcPr/>
          <w:p>
            <w:pPr>
              <w:pStyle w:val="Compact"/>
            </w:pPr>
            <w:r>
              <w:t xml:space="preserve">Until removal</w:t>
            </w:r>
          </w:p>
        </w:tc>
        <w:tc>
          <w:tcPr/>
          <w:p>
            <w:pPr>
              <w:pStyle w:val="Compact"/>
            </w:pPr>
            <w:r>
              <w:t xml:space="preserve">Dwell time, complications</w:t>
            </w:r>
          </w:p>
        </w:tc>
        <w:tc>
          <w:tcPr/>
          <w:p>
            <w:pPr>
              <w:pStyle w:val="Compact"/>
            </w:pPr>
            <w:r>
              <w:t xml:space="preserve">Dwell 9.2±6.0 vs 3.2±2.1 days (p&lt;0.0001)</w:t>
            </w:r>
          </w:p>
        </w:tc>
      </w:tr>
      <w:tr>
        <w:tc>
          <w:tcPr/>
          <w:p>
            <w:pPr>
              <w:pStyle w:val="Compact"/>
            </w:pPr>
            <w:r>
              <w:t xml:space="preserve">Saltarelli NA</w:t>
            </w:r>
          </w:p>
        </w:tc>
        <w:tc>
          <w:tcPr/>
          <w:p>
            <w:pPr>
              <w:pStyle w:val="Compact"/>
            </w:pPr>
            <w:r>
              <w:t xml:space="preserve">2015</w:t>
            </w:r>
          </w:p>
        </w:tc>
        <w:tc>
          <w:tcPr/>
          <w:p>
            <w:pPr>
              <w:pStyle w:val="Compact"/>
            </w:pPr>
            <w:r>
              <w:t xml:space="preserve">USA</w:t>
            </w:r>
          </w:p>
        </w:tc>
        <w:tc>
          <w:tcPr/>
          <w:p>
            <w:pPr>
              <w:pStyle w:val="Compact"/>
            </w:pPr>
            <w:r>
              <w:t xml:space="preserve">Retrospective cohort</w:t>
            </w:r>
          </w:p>
        </w:tc>
        <w:tc>
          <w:tcPr/>
          <w:p>
            <w:pPr>
              <w:pStyle w:val="Compact"/>
            </w:pPr>
            <w:r>
              <w:t xml:space="preserve">Tertiary ED</w:t>
            </w:r>
          </w:p>
        </w:tc>
        <w:tc>
          <w:tcPr/>
          <w:p>
            <w:pPr>
              <w:pStyle w:val="Compact"/>
            </w:pPr>
            <w:r>
              <w:t xml:space="preserve">Adult ED (DIVA)</w:t>
            </w:r>
          </w:p>
        </w:tc>
        <w:tc>
          <w:tcPr/>
          <w:p>
            <w:pPr>
              <w:pStyle w:val="Compact"/>
            </w:pPr>
            <w:r>
              <w:t xml:space="preserve">885/1,803</w:t>
            </w:r>
          </w:p>
        </w:tc>
        <w:tc>
          <w:tcPr/>
          <w:p>
            <w:pPr>
              <w:pStyle w:val="Compact"/>
            </w:pPr>
            <w:r>
              <w:t xml:space="preserve">Yes</w:t>
            </w:r>
          </w:p>
        </w:tc>
        <w:tc>
          <w:tcPr/>
          <w:p>
            <w:pPr>
              <w:pStyle w:val="Compact"/>
            </w:pPr>
            <w:r>
              <w:t xml:space="preserve">No</w:t>
            </w:r>
          </w:p>
        </w:tc>
        <w:tc>
          <w:tcPr/>
          <w:p>
            <w:pPr>
              <w:pStyle w:val="Compact"/>
            </w:pPr>
            <w:r>
              <w:t xml:space="preserve">Hospital stay</w:t>
            </w:r>
          </w:p>
        </w:tc>
        <w:tc>
          <w:tcPr/>
          <w:p>
            <w:pPr>
              <w:pStyle w:val="Compact"/>
            </w:pPr>
            <w:r>
              <w:t xml:space="preserve">Infiltration</w:t>
            </w:r>
          </w:p>
        </w:tc>
        <w:tc>
          <w:tcPr/>
          <w:p>
            <w:pPr>
              <w:pStyle w:val="Compact"/>
            </w:pPr>
            <w:r>
              <w:t xml:space="preserve">7.6% vs 5.9% (OR 1.31, 0.92-1.88, NS)</w:t>
            </w:r>
          </w:p>
        </w:tc>
      </w:tr>
      <w:tr>
        <w:tc>
          <w:tcPr/>
          <w:p>
            <w:pPr>
              <w:pStyle w:val="Compact"/>
            </w:pPr>
            <w:r>
              <w:t xml:space="preserve">Cottrell JT</w:t>
            </w:r>
          </w:p>
        </w:tc>
        <w:tc>
          <w:tcPr/>
          <w:p>
            <w:pPr>
              <w:pStyle w:val="Compact"/>
            </w:pPr>
            <w:r>
              <w:t xml:space="preserve">2021</w:t>
            </w:r>
          </w:p>
        </w:tc>
        <w:tc>
          <w:tcPr/>
          <w:p>
            <w:pPr>
              <w:pStyle w:val="Compact"/>
            </w:pPr>
            <w:r>
              <w:t xml:space="preserve">USA</w:t>
            </w:r>
          </w:p>
        </w:tc>
        <w:tc>
          <w:tcPr/>
          <w:p>
            <w:pPr>
              <w:pStyle w:val="Compact"/>
            </w:pPr>
            <w:r>
              <w:t xml:space="preserve">Retrospective cohort</w:t>
            </w:r>
          </w:p>
        </w:tc>
        <w:tc>
          <w:tcPr/>
          <w:p>
            <w:pPr>
              <w:pStyle w:val="Compact"/>
            </w:pPr>
            <w:r>
              <w:t xml:space="preserve">Paediatric hospital</w:t>
            </w:r>
          </w:p>
        </w:tc>
        <w:tc>
          <w:tcPr/>
          <w:p>
            <w:pPr>
              <w:pStyle w:val="Compact"/>
            </w:pPr>
            <w:r>
              <w:t xml:space="preserve">Paediatric (all)</w:t>
            </w:r>
          </w:p>
        </w:tc>
        <w:tc>
          <w:tcPr/>
          <w:p>
            <w:pPr>
              <w:pStyle w:val="Compact"/>
            </w:pPr>
            <w:r>
              <w:t xml:space="preserve">256/287</w:t>
            </w:r>
          </w:p>
        </w:tc>
        <w:tc>
          <w:tcPr/>
          <w:p>
            <w:pPr>
              <w:pStyle w:val="Compact"/>
            </w:pPr>
            <w:r>
              <w:t xml:space="preserve">No</w:t>
            </w:r>
          </w:p>
        </w:tc>
        <w:tc>
          <w:tcPr/>
          <w:p>
            <w:pPr>
              <w:pStyle w:val="Compact"/>
            </w:pPr>
            <w:r>
              <w:t xml:space="preserve">No</w:t>
            </w:r>
          </w:p>
        </w:tc>
        <w:tc>
          <w:tcPr/>
          <w:p>
            <w:pPr>
              <w:pStyle w:val="Compact"/>
            </w:pPr>
            <w:r>
              <w:t xml:space="preserve">Until removal</w:t>
            </w:r>
          </w:p>
        </w:tc>
        <w:tc>
          <w:tcPr/>
          <w:p>
            <w:pPr>
              <w:pStyle w:val="Compact"/>
            </w:pPr>
            <w:r>
              <w:t xml:space="preserve">Dwell time</w:t>
            </w:r>
          </w:p>
        </w:tc>
        <w:tc>
          <w:tcPr/>
          <w:p>
            <w:pPr>
              <w:pStyle w:val="Compact"/>
            </w:pPr>
            <w:r>
              <w:t xml:space="preserve">Mean 96.1 vs 59.4h (p&lt;0.001)</w:t>
            </w:r>
          </w:p>
        </w:tc>
      </w:tr>
      <w:tr>
        <w:tc>
          <w:tcPr/>
          <w:p>
            <w:pPr>
              <w:pStyle w:val="Compact"/>
            </w:pPr>
            <w:r>
              <w:t xml:space="preserve">Refosco M</w:t>
            </w:r>
          </w:p>
        </w:tc>
        <w:tc>
          <w:tcPr/>
          <w:p>
            <w:pPr>
              <w:pStyle w:val="Compact"/>
            </w:pPr>
            <w:r>
              <w:t xml:space="preserve">2024</w:t>
            </w:r>
          </w:p>
        </w:tc>
        <w:tc>
          <w:tcPr/>
          <w:p>
            <w:pPr>
              <w:pStyle w:val="Compact"/>
            </w:pPr>
            <w:r>
              <w:t xml:space="preserve">Italy</w:t>
            </w:r>
          </w:p>
        </w:tc>
        <w:tc>
          <w:tcPr/>
          <w:p>
            <w:pPr>
              <w:pStyle w:val="Compact"/>
            </w:pPr>
            <w:r>
              <w:t xml:space="preserve">Retrospective cohort</w:t>
            </w:r>
          </w:p>
        </w:tc>
        <w:tc>
          <w:tcPr/>
          <w:p>
            <w:pPr>
              <w:pStyle w:val="Compact"/>
            </w:pPr>
            <w:r>
              <w:t xml:space="preserve">Paediatric ED</w:t>
            </w:r>
          </w:p>
        </w:tc>
        <w:tc>
          <w:tcPr/>
          <w:p>
            <w:pPr>
              <w:pStyle w:val="Compact"/>
            </w:pPr>
            <w:r>
              <w:t xml:space="preserve">Paediatric 0-18y</w:t>
            </w:r>
          </w:p>
        </w:tc>
        <w:tc>
          <w:tcPr/>
          <w:p>
            <w:pPr>
              <w:pStyle w:val="Compact"/>
            </w:pPr>
            <w:r>
              <w:t xml:space="preserve">135/135</w:t>
            </w:r>
          </w:p>
        </w:tc>
        <w:tc>
          <w:tcPr/>
          <w:p>
            <w:pPr>
              <w:pStyle w:val="Compact"/>
            </w:pPr>
            <w:r>
              <w:t xml:space="preserve">No</w:t>
            </w:r>
          </w:p>
        </w:tc>
        <w:tc>
          <w:tcPr/>
          <w:p>
            <w:pPr>
              <w:pStyle w:val="Compact"/>
            </w:pPr>
            <w:r>
              <w:t xml:space="preserve">Yes*</w:t>
            </w:r>
          </w:p>
        </w:tc>
        <w:tc>
          <w:tcPr/>
          <w:p>
            <w:pPr>
              <w:pStyle w:val="Compact"/>
            </w:pPr>
            <w:r>
              <w:t xml:space="preserve">Until removal</w:t>
            </w:r>
          </w:p>
        </w:tc>
        <w:tc>
          <w:tcPr/>
          <w:p>
            <w:pPr>
              <w:pStyle w:val="Compact"/>
            </w:pPr>
            <w:r>
              <w:t xml:space="preserve">Dwell time, complications</w:t>
            </w:r>
          </w:p>
        </w:tc>
        <w:tc>
          <w:tcPr/>
          <w:p>
            <w:pPr>
              <w:pStyle w:val="Compact"/>
            </w:pPr>
            <w:r>
              <w:t xml:space="preserve">Dwell 5.3±4.0 vs 2.5±1.8 days (p&lt;0.001); Complications 34% vs 70%</w:t>
            </w:r>
          </w:p>
        </w:tc>
      </w:tr>
      <w:tr>
        <w:tc>
          <w:tcPr/>
          <w:p>
            <w:pPr>
              <w:pStyle w:val="Compact"/>
            </w:pPr>
            <w:r>
              <w:t xml:space="preserve">Nishizawa T</w:t>
            </w:r>
          </w:p>
        </w:tc>
        <w:tc>
          <w:tcPr/>
          <w:p>
            <w:pPr>
              <w:pStyle w:val="Compact"/>
            </w:pPr>
            <w:r>
              <w:t xml:space="preserve">2020</w:t>
            </w:r>
          </w:p>
        </w:tc>
        <w:tc>
          <w:tcPr/>
          <w:p>
            <w:pPr>
              <w:pStyle w:val="Compact"/>
            </w:pPr>
            <w:r>
              <w:t xml:space="preserve">Japan</w:t>
            </w:r>
          </w:p>
        </w:tc>
        <w:tc>
          <w:tcPr/>
          <w:p>
            <w:pPr>
              <w:pStyle w:val="Compact"/>
            </w:pPr>
            <w:r>
              <w:t xml:space="preserve">RCT</w:t>
            </w:r>
          </w:p>
        </w:tc>
        <w:tc>
          <w:tcPr/>
          <w:p>
            <w:pPr>
              <w:pStyle w:val="Compact"/>
            </w:pPr>
            <w:r>
              <w:t xml:space="preserve">Mixed ICU</w:t>
            </w:r>
          </w:p>
        </w:tc>
        <w:tc>
          <w:tcPr/>
          <w:p>
            <w:pPr>
              <w:pStyle w:val="Compact"/>
            </w:pPr>
            <w:r>
              <w:t xml:space="preserve">Adult ICU (DIVA)</w:t>
            </w:r>
          </w:p>
        </w:tc>
        <w:tc>
          <w:tcPr/>
          <w:p>
            <w:pPr>
              <w:pStyle w:val="Compact"/>
            </w:pPr>
            <w:r>
              <w:t xml:space="preserve">30/30</w:t>
            </w:r>
          </w:p>
        </w:tc>
        <w:tc>
          <w:tcPr/>
          <w:p>
            <w:pPr>
              <w:pStyle w:val="Compact"/>
            </w:pPr>
            <w:r>
              <w:t xml:space="preserve">Yes</w:t>
            </w:r>
          </w:p>
        </w:tc>
        <w:tc>
          <w:tcPr/>
          <w:p>
            <w:pPr>
              <w:pStyle w:val="Compact"/>
            </w:pPr>
            <w:r>
              <w:t xml:space="preserve">No</w:t>
            </w:r>
          </w:p>
        </w:tc>
        <w:tc>
          <w:tcPr/>
          <w:p>
            <w:pPr>
              <w:pStyle w:val="Compact"/>
            </w:pPr>
            <w:r>
              <w:t xml:space="preserve">Until removal</w:t>
            </w:r>
          </w:p>
        </w:tc>
        <w:tc>
          <w:tcPr/>
          <w:p>
            <w:pPr>
              <w:pStyle w:val="Compact"/>
            </w:pPr>
            <w:r>
              <w:t xml:space="preserve">First-attempt success, extravasation</w:t>
            </w:r>
          </w:p>
        </w:tc>
        <w:tc>
          <w:tcPr/>
          <w:p>
            <w:pPr>
              <w:pStyle w:val="Compact"/>
            </w:pPr>
            <w:r>
              <w:t xml:space="preserve">First-attempt 70% vs 40% (p&lt;0.05); Extravasation 13.6% vs 28.5% (NS)</w:t>
            </w:r>
          </w:p>
        </w:tc>
      </w:tr>
      <w:tr>
        <w:tc>
          <w:tcPr/>
          <w:p>
            <w:pPr>
              <w:pStyle w:val="Compact"/>
            </w:pPr>
            <w:r>
              <w:t xml:space="preserve">Desai K</w:t>
            </w:r>
          </w:p>
        </w:tc>
        <w:tc>
          <w:tcPr/>
          <w:p>
            <w:pPr>
              <w:pStyle w:val="Compact"/>
            </w:pPr>
            <w:r>
              <w:t xml:space="preserve">2018</w:t>
            </w:r>
          </w:p>
        </w:tc>
        <w:tc>
          <w:tcPr/>
          <w:p>
            <w:pPr>
              <w:pStyle w:val="Compact"/>
            </w:pPr>
            <w:r>
              <w:t xml:space="preserve">USA</w:t>
            </w:r>
          </w:p>
        </w:tc>
        <w:tc>
          <w:tcPr/>
          <w:p>
            <w:pPr>
              <w:pStyle w:val="Compact"/>
            </w:pPr>
            <w:r>
              <w:t xml:space="preserve">Retrospective cohort</w:t>
            </w:r>
          </w:p>
        </w:tc>
        <w:tc>
          <w:tcPr/>
          <w:p>
            <w:pPr>
              <w:pStyle w:val="Compact"/>
            </w:pPr>
            <w:r>
              <w:t xml:space="preserve">Paediatric ED</w:t>
            </w:r>
          </w:p>
        </w:tc>
        <w:tc>
          <w:tcPr/>
          <w:p>
            <w:pPr>
              <w:pStyle w:val="Compact"/>
            </w:pPr>
            <w:r>
              <w:t xml:space="preserve">Paediatric ED</w:t>
            </w:r>
          </w:p>
        </w:tc>
        <w:tc>
          <w:tcPr/>
          <w:p>
            <w:pPr>
              <w:pStyle w:val="Compact"/>
            </w:pPr>
            <w:r>
              <w:t xml:space="preserve">160/363</w:t>
            </w:r>
          </w:p>
        </w:tc>
        <w:tc>
          <w:tcPr/>
          <w:p>
            <w:pPr>
              <w:pStyle w:val="Compact"/>
            </w:pPr>
            <w:r>
              <w:t xml:space="preserve">No</w:t>
            </w:r>
          </w:p>
        </w:tc>
        <w:tc>
          <w:tcPr/>
          <w:p>
            <w:pPr>
              <w:pStyle w:val="Compact"/>
            </w:pPr>
            <w:r>
              <w:t xml:space="preserve">Yes*</w:t>
            </w:r>
          </w:p>
        </w:tc>
        <w:tc>
          <w:tcPr/>
          <w:p>
            <w:pPr>
              <w:pStyle w:val="Compact"/>
            </w:pPr>
            <w:r>
              <w:t xml:space="preserve">Until removal</w:t>
            </w:r>
          </w:p>
        </w:tc>
        <w:tc>
          <w:tcPr/>
          <w:p>
            <w:pPr>
              <w:pStyle w:val="Compact"/>
            </w:pPr>
            <w:r>
              <w:t xml:space="preserve">Dwell time, complications</w:t>
            </w:r>
          </w:p>
        </w:tc>
        <w:tc>
          <w:tcPr/>
          <w:p>
            <w:pPr>
              <w:pStyle w:val="Compact"/>
            </w:pPr>
            <w:r>
              <w:t xml:space="preserve">KM median 143 vs 89h (p&lt;0.001); Complications 34% vs 32% (NS)</w:t>
            </w:r>
          </w:p>
        </w:tc>
      </w:tr>
    </w:tbl>
    <w:p>
      <w:pPr>
        <w:pStyle w:val="BodyText"/>
      </w:pPr>
      <w:r>
        <w:t xml:space="preserve">*USG group used systematically longer catheters than landmark group; results confounded by catheter length/type.</w:t>
      </w:r>
    </w:p>
    <w:p>
      <w:r>
        <w:pict>
          <v:rect style="width:0;height:1.5pt" o:hralign="center" o:hrstd="t" o:hr="t"/>
        </w:pict>
      </w:r>
    </w:p>
    <w:bookmarkEnd w:id="37"/>
    <w:bookmarkStart w:id="40" w:name="table-2.-risk-of-bias-assessment"/>
    <w:p>
      <w:pPr>
        <w:pStyle w:val="Heading3"/>
      </w:pPr>
      <w:r>
        <w:t xml:space="preserve">Table 2. Risk of Bias Assessment</w:t>
      </w:r>
    </w:p>
    <w:bookmarkStart w:id="38" w:name="X53d4cbf7062fffca0c744702338b0191607f611"/>
    <w:p>
      <w:pPr>
        <w:pStyle w:val="Heading4"/>
      </w:pPr>
      <w:r>
        <w:t xml:space="preserve">Part A: Cochrane RoB 2 for Randomised Controlled Trials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Study</w:t>
            </w:r>
          </w:p>
        </w:tc>
        <w:tc>
          <w:tcPr/>
          <w:p>
            <w:pPr>
              <w:pStyle w:val="Compact"/>
            </w:pPr>
            <w:r>
              <w:t xml:space="preserve">D1: Randomisation</w:t>
            </w:r>
          </w:p>
        </w:tc>
        <w:tc>
          <w:tcPr/>
          <w:p>
            <w:pPr>
              <w:pStyle w:val="Compact"/>
            </w:pPr>
            <w:r>
              <w:t xml:space="preserve">D2: Deviations</w:t>
            </w:r>
          </w:p>
        </w:tc>
        <w:tc>
          <w:tcPr/>
          <w:p>
            <w:pPr>
              <w:pStyle w:val="Compact"/>
            </w:pPr>
            <w:r>
              <w:t xml:space="preserve">D3: Missing data</w:t>
            </w:r>
          </w:p>
        </w:tc>
        <w:tc>
          <w:tcPr/>
          <w:p>
            <w:pPr>
              <w:pStyle w:val="Compact"/>
            </w:pPr>
            <w:r>
              <w:t xml:space="preserve">D4: Measurement</w:t>
            </w:r>
          </w:p>
        </w:tc>
        <w:tc>
          <w:tcPr/>
          <w:p>
            <w:pPr>
              <w:pStyle w:val="Compact"/>
            </w:pPr>
            <w:r>
              <w:t xml:space="preserve">D5: Reporting</w:t>
            </w:r>
          </w:p>
        </w:tc>
        <w:tc>
          <w:tcPr/>
          <w:p>
            <w:pPr>
              <w:pStyle w:val="Compact"/>
            </w:pPr>
            <w:r>
              <w:t xml:space="preserve">Overall</w:t>
            </w:r>
          </w:p>
        </w:tc>
      </w:tr>
      <w:tr>
        <w:tc>
          <w:tcPr/>
          <w:p>
            <w:pPr>
              <w:pStyle w:val="Compact"/>
            </w:pPr>
            <w:r>
              <w:t xml:space="preserve">Kleidon 2025</w:t>
            </w:r>
          </w:p>
        </w:tc>
        <w:tc>
          <w:tcPr/>
          <w:p>
            <w:pPr>
              <w:pStyle w:val="Compact"/>
            </w:pPr>
            <w:r>
              <w:t xml:space="preserve">Low</w:t>
            </w:r>
          </w:p>
        </w:tc>
        <w:tc>
          <w:tcPr/>
          <w:p>
            <w:pPr>
              <w:pStyle w:val="Compact"/>
            </w:pPr>
            <w:r>
              <w:t xml:space="preserve">Some concerns</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Some concerns</w:t>
            </w:r>
          </w:p>
        </w:tc>
      </w:tr>
      <w:tr>
        <w:tc>
          <w:tcPr/>
          <w:p>
            <w:pPr>
              <w:pStyle w:val="Compact"/>
            </w:pPr>
            <w:r>
              <w:t xml:space="preserve">Bridey 2018</w:t>
            </w:r>
          </w:p>
        </w:tc>
        <w:tc>
          <w:tcPr/>
          <w:p>
            <w:pPr>
              <w:pStyle w:val="Compact"/>
            </w:pPr>
            <w:r>
              <w:t xml:space="preserve">Low</w:t>
            </w:r>
          </w:p>
        </w:tc>
        <w:tc>
          <w:tcPr/>
          <w:p>
            <w:pPr>
              <w:pStyle w:val="Compact"/>
            </w:pPr>
            <w:r>
              <w:t xml:space="preserve">Some concerns</w:t>
            </w:r>
          </w:p>
        </w:tc>
        <w:tc>
          <w:tcPr/>
          <w:p>
            <w:pPr>
              <w:pStyle w:val="Compact"/>
            </w:pPr>
            <w:r>
              <w:t xml:space="preserve">Low</w:t>
            </w:r>
          </w:p>
        </w:tc>
        <w:tc>
          <w:tcPr/>
          <w:p>
            <w:pPr>
              <w:pStyle w:val="Compact"/>
            </w:pPr>
            <w:r>
              <w:t xml:space="preserve">Some concerns</w:t>
            </w:r>
          </w:p>
        </w:tc>
        <w:tc>
          <w:tcPr/>
          <w:p>
            <w:pPr>
              <w:pStyle w:val="Compact"/>
            </w:pPr>
            <w:r>
              <w:t xml:space="preserve">Low</w:t>
            </w:r>
          </w:p>
        </w:tc>
        <w:tc>
          <w:tcPr/>
          <w:p>
            <w:pPr>
              <w:pStyle w:val="Compact"/>
            </w:pPr>
            <w:r>
              <w:t xml:space="preserve">Some concerns</w:t>
            </w:r>
          </w:p>
        </w:tc>
      </w:tr>
      <w:tr>
        <w:tc>
          <w:tcPr/>
          <w:p>
            <w:pPr>
              <w:pStyle w:val="Compact"/>
            </w:pPr>
            <w:r>
              <w:t xml:space="preserve">Varghese 2025</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Some concerns</w:t>
            </w:r>
          </w:p>
        </w:tc>
        <w:tc>
          <w:tcPr/>
          <w:p>
            <w:pPr>
              <w:pStyle w:val="Compact"/>
            </w:pPr>
            <w:r>
              <w:t xml:space="preserve">Some concerns</w:t>
            </w:r>
          </w:p>
        </w:tc>
        <w:tc>
          <w:tcPr/>
          <w:p>
            <w:pPr>
              <w:pStyle w:val="Compact"/>
            </w:pPr>
            <w:r>
              <w:t xml:space="preserve">Some concerns</w:t>
            </w:r>
          </w:p>
        </w:tc>
      </w:tr>
      <w:tr>
        <w:tc>
          <w:tcPr/>
          <w:p>
            <w:pPr>
              <w:pStyle w:val="Compact"/>
            </w:pPr>
            <w:r>
              <w:t xml:space="preserve">Leroux 2023</w:t>
            </w:r>
          </w:p>
        </w:tc>
        <w:tc>
          <w:tcPr/>
          <w:p>
            <w:pPr>
              <w:pStyle w:val="Compact"/>
            </w:pPr>
            <w:r>
              <w:t xml:space="preserve">Low</w:t>
            </w:r>
          </w:p>
        </w:tc>
        <w:tc>
          <w:tcPr/>
          <w:p>
            <w:pPr>
              <w:pStyle w:val="Compact"/>
            </w:pPr>
            <w:r>
              <w:t xml:space="preserve">Some concerns</w:t>
            </w:r>
          </w:p>
        </w:tc>
        <w:tc>
          <w:tcPr/>
          <w:p>
            <w:pPr>
              <w:pStyle w:val="Compact"/>
            </w:pPr>
            <w:r>
              <w:t xml:space="preserve">High</w:t>
            </w:r>
          </w:p>
        </w:tc>
        <w:tc>
          <w:tcPr/>
          <w:p>
            <w:pPr>
              <w:pStyle w:val="Compact"/>
            </w:pPr>
            <w:r>
              <w:t xml:space="preserve">Some concerns</w:t>
            </w:r>
          </w:p>
        </w:tc>
        <w:tc>
          <w:tcPr/>
          <w:p>
            <w:pPr>
              <w:pStyle w:val="Compact"/>
            </w:pPr>
            <w:r>
              <w:t xml:space="preserve">Low</w:t>
            </w:r>
          </w:p>
        </w:tc>
        <w:tc>
          <w:tcPr/>
          <w:p>
            <w:pPr>
              <w:pStyle w:val="Compact"/>
            </w:pPr>
            <w:r>
              <w:t xml:space="preserve">High risk</w:t>
            </w:r>
          </w:p>
        </w:tc>
      </w:tr>
      <w:tr>
        <w:tc>
          <w:tcPr/>
          <w:p>
            <w:pPr>
              <w:pStyle w:val="Compact"/>
            </w:pPr>
            <w:r>
              <w:t xml:space="preserve">Nishizawa 2020</w:t>
            </w:r>
          </w:p>
        </w:tc>
        <w:tc>
          <w:tcPr/>
          <w:p>
            <w:pPr>
              <w:pStyle w:val="Compact"/>
            </w:pPr>
            <w:r>
              <w:t xml:space="preserve">Low</w:t>
            </w:r>
          </w:p>
        </w:tc>
        <w:tc>
          <w:tcPr/>
          <w:p>
            <w:pPr>
              <w:pStyle w:val="Compact"/>
            </w:pPr>
            <w:r>
              <w:t xml:space="preserve">Some concerns</w:t>
            </w:r>
          </w:p>
        </w:tc>
        <w:tc>
          <w:tcPr/>
          <w:p>
            <w:pPr>
              <w:pStyle w:val="Compact"/>
            </w:pPr>
            <w:r>
              <w:t xml:space="preserve">Low</w:t>
            </w:r>
          </w:p>
        </w:tc>
        <w:tc>
          <w:tcPr/>
          <w:p>
            <w:pPr>
              <w:pStyle w:val="Compact"/>
            </w:pPr>
            <w:r>
              <w:t xml:space="preserve">Some concerns</w:t>
            </w:r>
          </w:p>
        </w:tc>
        <w:tc>
          <w:tcPr/>
          <w:p>
            <w:pPr>
              <w:pStyle w:val="Compact"/>
            </w:pPr>
            <w:r>
              <w:t xml:space="preserve">Low</w:t>
            </w:r>
          </w:p>
        </w:tc>
        <w:tc>
          <w:tcPr/>
          <w:p>
            <w:pPr>
              <w:pStyle w:val="Compact"/>
            </w:pPr>
            <w:r>
              <w:t xml:space="preserve">Some concerns</w:t>
            </w:r>
          </w:p>
        </w:tc>
      </w:tr>
    </w:tbl>
    <w:bookmarkEnd w:id="38"/>
    <w:bookmarkStart w:id="39" w:name="Xe114ef80c5ad2f74041430eb446f9ddf8332a69"/>
    <w:p>
      <w:pPr>
        <w:pStyle w:val="Heading4"/>
      </w:pPr>
      <w:r>
        <w:t xml:space="preserve">Part B: Newcastle-Ottawa Scale for Cohort Studies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Selection (max 4)</w:t>
            </w:r>
          </w:p>
        </w:tc>
        <w:tc>
          <w:tcPr/>
          <w:p>
            <w:pPr>
              <w:pStyle w:val="Compact"/>
            </w:pPr>
            <w:r>
              <w:t xml:space="preserve">Comparability (max 2)</w:t>
            </w:r>
          </w:p>
        </w:tc>
        <w:tc>
          <w:tcPr/>
          <w:p>
            <w:pPr>
              <w:pStyle w:val="Compact"/>
            </w:pPr>
            <w:r>
              <w:t xml:space="preserve">Outcome (max 3)</w:t>
            </w:r>
          </w:p>
        </w:tc>
        <w:tc>
          <w:tcPr/>
          <w:p>
            <w:pPr>
              <w:pStyle w:val="Compact"/>
            </w:pPr>
            <w:r>
              <w:t xml:space="preserve">Total</w:t>
            </w:r>
          </w:p>
        </w:tc>
        <w:tc>
          <w:tcPr/>
          <w:p>
            <w:pPr>
              <w:pStyle w:val="Compact"/>
            </w:pPr>
            <w:r>
              <w:t xml:space="preserve">Key Concern</w:t>
            </w:r>
          </w:p>
        </w:tc>
      </w:tr>
      <w:tr>
        <w:tc>
          <w:tcPr/>
          <w:p>
            <w:pPr>
              <w:pStyle w:val="Compact"/>
            </w:pPr>
            <w:r>
              <w:t xml:space="preserve">Feinsmith 2021</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6/9</w:t>
            </w:r>
          </w:p>
        </w:tc>
        <w:tc>
          <w:tcPr/>
          <w:p>
            <w:pPr>
              <w:pStyle w:val="Compact"/>
            </w:pPr>
            <w:r>
              <w:t xml:space="preserve">Selection bias (DIVA), missing IFR data</w:t>
            </w:r>
          </w:p>
        </w:tc>
      </w:tr>
      <w:tr>
        <w:tc>
          <w:tcPr/>
          <w:p>
            <w:pPr>
              <w:pStyle w:val="Compact"/>
            </w:pPr>
            <w:r>
              <w:t xml:space="preserve">Dachepally 2023</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6/9</w:t>
            </w:r>
          </w:p>
        </w:tc>
        <w:tc>
          <w:tcPr/>
          <w:p>
            <w:pPr>
              <w:pStyle w:val="Compact"/>
            </w:pPr>
            <w:r>
              <w:t xml:space="preserve">Catheter length confounding</w:t>
            </w:r>
          </w:p>
        </w:tc>
      </w:tr>
      <w:tr>
        <w:tc>
          <w:tcPr/>
          <w:p>
            <w:pPr>
              <w:pStyle w:val="Compact"/>
            </w:pPr>
            <w:r>
              <w:t xml:space="preserve">Shokoohi 2019</w:t>
            </w:r>
          </w:p>
        </w:tc>
        <w:tc>
          <w:tcPr/>
          <w:p>
            <w:pPr>
              <w:pStyle w:val="Compact"/>
            </w:pPr>
            <w:r>
              <w:t xml:space="preserve">4</w:t>
            </w:r>
          </w:p>
        </w:tc>
        <w:tc>
          <w:tcPr/>
          <w:p>
            <w:pPr>
              <w:pStyle w:val="Compact"/>
            </w:pPr>
            <w:r>
              <w:t xml:space="preserve">2</w:t>
            </w:r>
          </w:p>
        </w:tc>
        <w:tc>
          <w:tcPr/>
          <w:p>
            <w:pPr>
              <w:pStyle w:val="Compact"/>
            </w:pPr>
            <w:r>
              <w:t xml:space="preserve">3</w:t>
            </w:r>
          </w:p>
        </w:tc>
        <w:tc>
          <w:tcPr/>
          <w:p>
            <w:pPr>
              <w:pStyle w:val="Compact"/>
            </w:pPr>
            <w:r>
              <w:t xml:space="preserve">9/9</w:t>
            </w:r>
          </w:p>
        </w:tc>
        <w:tc>
          <w:tcPr/>
          <w:p>
            <w:pPr>
              <w:pStyle w:val="Compact"/>
            </w:pPr>
            <w:r>
              <w:t xml:space="preserve">(Highest quality)</w:t>
            </w:r>
          </w:p>
        </w:tc>
      </w:tr>
      <w:tr>
        <w:tc>
          <w:tcPr/>
          <w:p>
            <w:pPr>
              <w:pStyle w:val="Compact"/>
            </w:pPr>
            <w:r>
              <w:t xml:space="preserve">Favot 2019</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5/9</w:t>
            </w:r>
          </w:p>
        </w:tc>
        <w:tc>
          <w:tcPr/>
          <w:p>
            <w:pPr>
              <w:pStyle w:val="Compact"/>
            </w:pPr>
            <w:r>
              <w:t xml:space="preserve">Ecological comparison, different data sources</w:t>
            </w:r>
          </w:p>
        </w:tc>
      </w:tr>
      <w:tr>
        <w:tc>
          <w:tcPr/>
          <w:p>
            <w:pPr>
              <w:pStyle w:val="Compact"/>
            </w:pPr>
            <w:r>
              <w:t xml:space="preserve">Paladini 2018</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6/9</w:t>
            </w:r>
          </w:p>
        </w:tc>
        <w:tc>
          <w:tcPr/>
          <w:p>
            <w:pPr>
              <w:pStyle w:val="Compact"/>
            </w:pPr>
            <w:r>
              <w:t xml:space="preserve">Catheter type confounding</w:t>
            </w:r>
          </w:p>
        </w:tc>
      </w:tr>
      <w:tr>
        <w:tc>
          <w:tcPr/>
          <w:p>
            <w:pPr>
              <w:pStyle w:val="Compact"/>
            </w:pPr>
            <w:r>
              <w:t xml:space="preserve">Saltarelli 2015</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5/9</w:t>
            </w:r>
          </w:p>
        </w:tc>
        <w:tc>
          <w:tcPr/>
          <w:p>
            <w:pPr>
              <w:pStyle w:val="Compact"/>
            </w:pPr>
            <w:r>
              <w:t xml:space="preserve">Conference abstract only</w:t>
            </w:r>
          </w:p>
        </w:tc>
      </w:tr>
      <w:tr>
        <w:tc>
          <w:tcPr/>
          <w:p>
            <w:pPr>
              <w:pStyle w:val="Compact"/>
            </w:pPr>
            <w:r>
              <w:t xml:space="preserve">Cottrell 2021</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6/9</w:t>
            </w:r>
          </w:p>
        </w:tc>
        <w:tc>
          <w:tcPr/>
          <w:p>
            <w:pPr>
              <w:pStyle w:val="Compact"/>
            </w:pPr>
            <w:r>
              <w:t xml:space="preserve">Retrospective; different difficulty levels</w:t>
            </w:r>
          </w:p>
        </w:tc>
      </w:tr>
      <w:tr>
        <w:tc>
          <w:tcPr/>
          <w:p>
            <w:pPr>
              <w:pStyle w:val="Compact"/>
            </w:pPr>
            <w:r>
              <w:t xml:space="preserve">Refosco 2024</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6/9</w:t>
            </w:r>
          </w:p>
        </w:tc>
        <w:tc>
          <w:tcPr/>
          <w:p>
            <w:pPr>
              <w:pStyle w:val="Compact"/>
            </w:pPr>
            <w:r>
              <w:t xml:space="preserve">Catheter type confounding</w:t>
            </w:r>
          </w:p>
        </w:tc>
      </w:tr>
      <w:tr>
        <w:tc>
          <w:tcPr/>
          <w:p>
            <w:pPr>
              <w:pStyle w:val="Compact"/>
            </w:pPr>
            <w:r>
              <w:t xml:space="preserve">Desai 2018</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5/9</w:t>
            </w:r>
          </w:p>
        </w:tc>
        <w:tc>
          <w:tcPr/>
          <w:p>
            <w:pPr>
              <w:pStyle w:val="Compact"/>
            </w:pPr>
            <w:r>
              <w:t xml:space="preserve">USG group 55% DIVA hx vs TPIV 7.2%; longer catheters</w:t>
            </w:r>
          </w:p>
        </w:tc>
      </w:tr>
    </w:tbl>
    <w:p>
      <w:r>
        <w:pict>
          <v:rect style="width:0;height:1.5pt" o:hralign="center" o:hrstd="t" o:hr="t"/>
        </w:pict>
      </w:r>
    </w:p>
    <w:bookmarkEnd w:id="39"/>
    <w:bookmarkEnd w:id="40"/>
    <w:bookmarkStart w:id="41" w:name="figure-1.-prisma-2020-flow-diagram"/>
    <w:p>
      <w:pPr>
        <w:pStyle w:val="Heading3"/>
      </w:pPr>
      <w:r>
        <w:t xml:space="preserve">Figure 1. PRISMA 2020 Flow Diagram</w:t>
      </w:r>
    </w:p>
    <w:p>
      <w:pPr>
        <w:pStyle w:val="FirstParagraph"/>
      </w:pPr>
      <w:r>
        <w:rPr>
          <w:i/>
          <w:iCs/>
        </w:rPr>
        <w:t xml:space="preserve">Full diagram is provided as a separate file (Figure1_PRISMA_flow.pdf in the submission package). Numerical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n</w:t>
            </w:r>
          </w:p>
        </w:tc>
      </w:tr>
      <w:tr>
        <w:tc>
          <w:tcPr/>
          <w:p>
            <w:pPr>
              <w:pStyle w:val="Compact"/>
            </w:pPr>
            <w:r>
              <w:t xml:space="preserve">Records identified (PubMed 530 + Embase 984 + Cochrane CENTRAL 68 + CINAHL 50)</w:t>
            </w:r>
          </w:p>
        </w:tc>
        <w:tc>
          <w:tcPr/>
          <w:p>
            <w:pPr>
              <w:pStyle w:val="Compact"/>
            </w:pPr>
            <w:r>
              <w:t xml:space="preserve">1,632</w:t>
            </w:r>
          </w:p>
        </w:tc>
      </w:tr>
      <w:tr>
        <w:tc>
          <w:tcPr/>
          <w:p>
            <w:pPr>
              <w:pStyle w:val="Compact"/>
            </w:pPr>
            <w:r>
              <w:t xml:space="preserve">Duplicates removed</w:t>
            </w:r>
          </w:p>
        </w:tc>
        <w:tc>
          <w:tcPr/>
          <w:p>
            <w:pPr>
              <w:pStyle w:val="Compact"/>
            </w:pPr>
            <w:r>
              <w:t xml:space="preserve">273</w:t>
            </w:r>
          </w:p>
        </w:tc>
      </w:tr>
      <w:tr>
        <w:tc>
          <w:tcPr/>
          <w:p>
            <w:pPr>
              <w:pStyle w:val="Compact"/>
            </w:pPr>
            <w:r>
              <w:t xml:space="preserve">Records screened (title/abstract)</w:t>
            </w:r>
          </w:p>
        </w:tc>
        <w:tc>
          <w:tcPr/>
          <w:p>
            <w:pPr>
              <w:pStyle w:val="Compact"/>
            </w:pPr>
            <w:r>
              <w:t xml:space="preserve">1,359</w:t>
            </w:r>
          </w:p>
        </w:tc>
      </w:tr>
      <w:tr>
        <w:tc>
          <w:tcPr/>
          <w:p>
            <w:pPr>
              <w:pStyle w:val="Compact"/>
            </w:pPr>
            <w:r>
              <w:t xml:space="preserve">Records excluded at T/A (1,287 both-reviewer + 53 single-reviewer-include adjudicated EXC at second-pass)</w:t>
            </w:r>
          </w:p>
        </w:tc>
        <w:tc>
          <w:tcPr/>
          <w:p>
            <w:pPr>
              <w:pStyle w:val="Compact"/>
            </w:pPr>
            <w:r>
              <w:t xml:space="preserve">1,340</w:t>
            </w:r>
          </w:p>
        </w:tc>
      </w:tr>
      <w:tr>
        <w:tc>
          <w:tcPr/>
          <w:p>
            <w:pPr>
              <w:pStyle w:val="Compact"/>
            </w:pPr>
            <w:r>
              <w:t xml:space="preserve">Reports sought for full-text retrieval</w:t>
            </w:r>
          </w:p>
        </w:tc>
        <w:tc>
          <w:tcPr/>
          <w:p>
            <w:pPr>
              <w:pStyle w:val="Compact"/>
            </w:pPr>
            <w:r>
              <w:t xml:space="preserve">19</w:t>
            </w:r>
          </w:p>
        </w:tc>
      </w:tr>
      <w:tr>
        <w:tc>
          <w:tcPr/>
          <w:p>
            <w:pPr>
              <w:pStyle w:val="Compact"/>
            </w:pPr>
            <w:r>
              <w:t xml:space="preserve">Reports not retrieved</w:t>
            </w:r>
          </w:p>
        </w:tc>
        <w:tc>
          <w:tcPr/>
          <w:p>
            <w:pPr>
              <w:pStyle w:val="Compact"/>
            </w:pPr>
            <w:r>
              <w:t xml:space="preserve">0</w:t>
            </w:r>
          </w:p>
        </w:tc>
      </w:tr>
      <w:tr>
        <w:tc>
          <w:tcPr/>
          <w:p>
            <w:pPr>
              <w:pStyle w:val="Compact"/>
            </w:pPr>
            <w:r>
              <w:t xml:space="preserve">Reports assessed for eligibility</w:t>
            </w:r>
          </w:p>
        </w:tc>
        <w:tc>
          <w:tcPr/>
          <w:p>
            <w:pPr>
              <w:pStyle w:val="Compact"/>
            </w:pPr>
            <w:r>
              <w:t xml:space="preserve">19</w:t>
            </w:r>
          </w:p>
        </w:tc>
      </w:tr>
      <w:tr>
        <w:tc>
          <w:tcPr/>
          <w:p>
            <w:pPr>
              <w:pStyle w:val="Compact"/>
            </w:pPr>
            <w:r>
              <w:t xml:space="preserve">Reports excluded at full-text (1 single-arm absent comparator [Malik]; 2 Portuguese language [Avelar reports]; 1 unpublished [oncology-nurses report]; 1 duplicate/protocol of same EPIC trial [Kleidon BJN 2023 + Kleidon JVA 2022])</w:t>
            </w:r>
          </w:p>
        </w:tc>
        <w:tc>
          <w:tcPr/>
          <w:p>
            <w:pPr>
              <w:pStyle w:val="Compact"/>
            </w:pPr>
            <w:r>
              <w:t xml:space="preserve">5</w:t>
            </w:r>
          </w:p>
        </w:tc>
      </w:tr>
      <w:tr>
        <w:tc>
          <w:tcPr/>
          <w:p>
            <w:pPr>
              <w:pStyle w:val="Compact"/>
            </w:pPr>
            <w:r>
              <w:rPr>
                <w:b/>
                <w:bCs/>
              </w:rPr>
              <w:t xml:space="preserve">Studies included in qualitative synthesis</w:t>
            </w:r>
            <w:r>
              <w:t xml:space="preserve"> </w:t>
            </w:r>
            <w:r>
              <w:t xml:space="preserve">(5 RCTs, 9 cohort studies)</w:t>
            </w:r>
          </w:p>
        </w:tc>
        <w:tc>
          <w:tcPr/>
          <w:p>
            <w:pPr>
              <w:pStyle w:val="Compact"/>
            </w:pPr>
            <w:r>
              <w:rPr>
                <w:b/>
                <w:bCs/>
              </w:rPr>
              <w:t xml:space="preserve">14</w:t>
            </w:r>
          </w:p>
        </w:tc>
      </w:tr>
      <w:tr>
        <w:tc>
          <w:tcPr/>
          <w:p>
            <w:pPr>
              <w:pStyle w:val="Compact"/>
            </w:pPr>
            <w:r>
              <w:t xml:space="preserve">Studies included in quantitative synthesis (meta-analysis; varies by outcome)</w:t>
            </w:r>
          </w:p>
        </w:tc>
        <w:tc>
          <w:tcPr/>
          <w:p>
            <w:pPr>
              <w:pStyle w:val="Compact"/>
            </w:pPr>
            <w:r>
              <w:t xml:space="preserve">max k = 4</w:t>
            </w:r>
          </w:p>
        </w:tc>
      </w:tr>
    </w:tbl>
    <w:p>
      <w:r>
        <w:pict>
          <v:rect style="width:0;height:1.5pt" o:hralign="center" o:hrstd="t" o:hr="t"/>
        </w:pict>
      </w:r>
    </w:p>
    <w:p>
      <w:pPr>
        <w:pStyle w:val="FirstParagraph"/>
      </w:pPr>
      <w:r>
        <w:rPr>
          <w:b/>
          <w:bCs/>
        </w:rPr>
        <w:t xml:space="preserve">Figure 2.</w:t>
      </w:r>
      <w:r>
        <w:t xml:space="preserve"> </w:t>
      </w:r>
      <w:r>
        <w:t xml:space="preserve">Forest plot: catheter failure or premature removal, USG vs landmark PIVCs (k = 4: 2 RCTs + 2 cohort studies). Random-effects (DerSimonian-Laird) pooled estimate shown; the borderline signal (RR 1.23, 95% CI 0.99–1.51, p = 0.056) is driven primarily by the cohort component (see Results, Catheter Failure). PIVC type and intravascular catheter-segment length are reported in Table 1 where available; standard short PIVCs predominate in the four pooled studies.</w:t>
      </w:r>
    </w:p>
    <w:p>
      <w:pPr>
        <w:pStyle w:val="BodyText"/>
      </w:pPr>
      <w:r>
        <w:rPr>
          <w:b/>
          <w:bCs/>
        </w:rPr>
        <w:t xml:space="preserve">Figure 3.</w:t>
      </w:r>
      <w:r>
        <w:t xml:space="preserve"> </w:t>
      </w:r>
      <w:r>
        <w:t xml:space="preserve">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(Refosco 2024; Desai 2018; Dachepally 2023; Paladini 2018) are reported in</w:t>
      </w:r>
      <w:r>
        <w:t xml:space="preserve"> </w:t>
      </w:r>
      <w:r>
        <w:t xml:space="preserve">“Studies with major confounding”</w:t>
      </w:r>
      <w:r>
        <w:t xml:space="preserve"> </w:t>
      </w:r>
      <w:r>
        <w:t xml:space="preserve">rather than in this forest plot.</w:t>
      </w:r>
    </w:p>
    <w:p>
      <w:pPr>
        <w:pStyle w:val="BodyText"/>
      </w:pPr>
      <w:r>
        <w:rPr>
          <w:b/>
          <w:bCs/>
        </w:rPr>
        <w:t xml:space="preserve">Figure 4.</w:t>
      </w:r>
      <w:r>
        <w:t xml:space="preserve"> </w:t>
      </w:r>
      <w:r>
        <w:t xml:space="preserve">Forest plot: infiltration (USG vs landmark), k = 2 (1 RCT + 1 cohort, both standard-PIVC). Random-effects pooled RR 0.68 (0.12–3.83); CI is very wide because both studies have low event counts and small samples.</w:t>
      </w:r>
    </w:p>
    <w:p>
      <w:pPr>
        <w:pStyle w:val="BodyText"/>
      </w:pPr>
      <w:r>
        <w:rPr>
          <w:b/>
          <w:bCs/>
        </w:rPr>
        <w:t xml:space="preserve">Figure 5.</w:t>
      </w:r>
      <w:r>
        <w:t xml:space="preserve"> </w:t>
      </w:r>
      <w:r>
        <w:t xml:space="preserve">Forest plot: catheter failure subgroup by age (adult vs paediatric, k = 4 same as Figure 2). The adult subgroup contains 2 cohorts + 1 conference abstract (Saltarelli 2015 dominates the adult weight); the paediatric subgroup contains a single RCT (Kleidon 2025). Subgroup-by-effect interaction not statistically significant (p = 0.32) and severely underpowered.</w:t>
      </w:r>
    </w:p>
    <w:p>
      <w:pPr>
        <w:pStyle w:val="BodyText"/>
      </w:pPr>
      <w:r>
        <w:rPr>
          <w:b/>
          <w:bCs/>
        </w:rPr>
        <w:t xml:space="preserve">Figure 6.</w:t>
      </w:r>
      <w:r>
        <w:t xml:space="preserve"> </w:t>
      </w:r>
      <w:r>
        <w:t xml:space="preserve">Individual study estimates (NOT pooled) for catheter survival / premature removal: Feinsmith 2021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r>
        <w:pict>
          <v:rect style="width:0;height:1.5pt" o:hralign="center" o:hrstd="t" o:hr="t"/>
        </w:pict>
      </w:r>
    </w:p>
    <w:p>
      <w:pPr>
        <w:pStyle w:val="FirstParagraph"/>
      </w:pPr>
      <w:r>
        <w:rPr>
          <w:i/>
          <w:iCs/>
        </w:rPr>
        <w:t xml:space="preserve">PROSPERO Registration: CRD420261354170</w:t>
      </w:r>
    </w:p>
    <w:p>
      <w:pPr>
        <w:pStyle w:val="BodyText"/>
      </w:pPr>
      <w:r>
        <w:rPr>
          <w:i/>
          <w:iCs/>
        </w:rPr>
        <w:t xml:space="preserve">Funding: None.</w:t>
      </w:r>
    </w:p>
    <w:p>
      <w:pPr>
        <w:pStyle w:val="BodyText"/>
      </w:pPr>
      <w:r>
        <w:rPr>
          <w:i/>
          <w:iCs/>
        </w:rPr>
        <w:t xml:space="preserve">Conflicts of interest: None declared.</w:t>
      </w:r>
    </w:p>
    <w:p>
      <w:pPr>
        <w:pStyle w:val="BodyText"/>
      </w:pPr>
      <w:r>
        <w:rPr>
          <w:i/>
          <w:iCs/>
        </w:rPr>
        <w:t xml:space="preserve">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2026-04-29T01:33:54Z</dcterms:created>
  <dcterms:modified xsi:type="dcterms:W3CDTF">2026-04-29T01:33:54Z</dcterms:modified>
</cp:coreProperties>
</file>

<file path=docProps/custom.xml><?xml version="1.0" encoding="utf-8"?>
<Properties xmlns="http://schemas.openxmlformats.org/officeDocument/2006/custom-properties" xmlns:vt="http://schemas.openxmlformats.org/officeDocument/2006/docPropsVTypes"/>
</file>