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B8860B"/>
          <w:sz w:val="19"/>
        </w:rPr>
        <w:t>IMPLEMENTACIÓN Y OPERACIÓN</w:t>
      </w:r>
    </w:p>
    <w:p>
      <w:pPr>
        <w:spacing w:after="140"/>
      </w:pPr>
      <w:r>
        <w:rPr>
          <w:b/>
          <w:color w:val="17365D"/>
          <w:sz w:val="58"/>
        </w:rPr>
        <w:t>Automatización de recursos</w:t>
      </w:r>
    </w:p>
    <w:p>
      <w:pPr>
        <w:spacing w:after="400"/>
      </w:pPr>
      <w:r>
        <w:rPr>
          <w:color w:val="5B6573"/>
          <w:sz w:val="26"/>
        </w:rPr>
        <w:t>Escuela Sabática CL · Guía editable para Windows, Antigravity y operación semanal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Dato</w:t>
            </w:r>
          </w:p>
        </w:tc>
        <w:tc>
          <w:tcPr>
            <w:tcW w:type="dxa" w:w="68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Escuela Sabática CL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Trimestre inventariado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2026-Q3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Fecha de corte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 de agosto de 2026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Repositorio de producción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github.com/medina-raul/escuela-sabatica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Versión del documento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7F2EA"/>
          </w:tcPr>
          <w:p>
            <w:pPr>
              <w:spacing w:after="40"/>
            </w:pPr>
            <w:r>
              <w:rPr>
                <w:b/>
                <w:color w:val="17365D"/>
              </w:rPr>
              <w:t>Resultado de la adecuación</w:t>
            </w:r>
          </w:p>
          <w:p>
            <w:pPr>
              <w:spacing w:after="0"/>
            </w:pPr>
            <w:r>
              <w:t>El sistema quedó preparado para detectar, validar, reorganizar y publicar recursos desde fuentes remotas o desde una bandeja manual, sin depender del sistema operativo ni del agente de programación. Toda modificación continúa sujeta a revisión mediante pull request.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La iniciativa transformó una actualización manual, dependiente de memoria y rutas históricas, en un proceso gobernado por catálogo. El repositorio puede ahora reconocer dónde debe vivir cada recurso, de dónde procede, cómo comprobar si cambió y qué validaciones debe superar antes de publicarse.</w:t>
      </w:r>
    </w:p>
    <w:p>
      <w:r>
        <w:t>La automatización no reemplaza la decisión editorial: separa lo determinista —descargar, comparar, validar, mover, auditar y compilar— de lo que requiere juicio, como traducir y revisar el material para maestros. Los cambios se entregan mediante una rama y un pull request, nunca mediante publicación silenciosa.</w:t>
      </w:r>
    </w:p>
    <w:p>
      <w:pPr>
        <w:numPr>
          <w:ilvl w:val="0"/>
          <w:numId w:val="10"/>
        </w:numPr>
        <w:spacing w:after="80"/>
      </w:pPr>
      <w:r>
        <w:t>Portabilidad real: el mismo núcleo funciona en Windows, macOS, Linux, GitHub Actions, Codex o Antigravity.</w:t>
      </w:r>
    </w:p>
    <w:p>
      <w:pPr>
        <w:numPr>
          <w:ilvl w:val="0"/>
          <w:numId w:val="10"/>
        </w:numPr>
        <w:spacing w:after="80"/>
      </w:pPr>
      <w:r>
        <w:t>Trazabilidad: catálogo, URL de origen, tipo de almacenamiento, checksum y manifiesto permiten reconstruir qué ocurrió.</w:t>
      </w:r>
    </w:p>
    <w:p>
      <w:pPr>
        <w:numPr>
          <w:ilvl w:val="0"/>
          <w:numId w:val="10"/>
        </w:numPr>
        <w:spacing w:after="80"/>
      </w:pPr>
      <w:r>
        <w:t>Continuidad operativa: un futuro administrador no necesita conocer las rutas antiguas ni repetir instrucciones de memoria.</w:t>
      </w:r>
    </w:p>
    <w:p>
      <w:pPr>
        <w:numPr>
          <w:ilvl w:val="0"/>
          <w:numId w:val="10"/>
        </w:numPr>
        <w:spacing w:after="80"/>
      </w:pPr>
      <w:r>
        <w:t>Calidad preventiva: un archivo incorrecto, incompleto o incompatible se rechaza antes de tocar la versión publicada.</w:t>
      </w:r>
    </w:p>
    <w:p>
      <w:pPr>
        <w:numPr>
          <w:ilvl w:val="0"/>
          <w:numId w:val="10"/>
        </w:numPr>
        <w:spacing w:after="80"/>
      </w:pPr>
      <w:r>
        <w:t>Experiencia editorial coherente: las lecturas del viernes aparecen en biblioteca, barra lateral y también desde la invitación que abre el texto del día.</w:t>
      </w:r>
    </w:p>
    <w:p>
      <w:pPr>
        <w:pStyle w:val="Heading2"/>
        <w:keepNext/>
      </w:pPr>
      <w:r>
        <w:t>1.1 Trabajo realizado y valor generado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Área</w:t>
            </w:r>
          </w:p>
        </w:tc>
        <w:tc>
          <w:tcPr>
            <w:tcW w:type="dxa" w:w="68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Normalización física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Estructura canónica por trimestre, tipo y función; corrección segura de rutas heredadas y duplicados idénticos.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Fuente única de verdad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catálogo JSON gobierna biblioteca, sidebar, archivos, fuentes y automatización.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Fuentes remotas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Fustero para PPT, Audio Escuela Sabática para MP3 y Adventech/GitHub para contenido y material de maestros.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Ingreso manual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Bandeja resource-inbox con validación y descriptor para recursos nuevos.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Integridad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Descarga temporal, validación de extensión y estructura real, límites de tamaño, SHA-256 y reemplazo atómico.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Control editorial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Auditoría, pruebas, build obligatorio, informe, PR automático y revisión humana antes de fusionar.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Lecturas del viernes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Asociación por número de lección: la primera frase completa del viernes abre el modal correspondiente; 13 de 13 comprobadas.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Operación neutral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Scripts portátiles, accesos directos para Windows/macOS, workflow para Antigravity y ejecución programada en GitHub.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Estado general de los recursos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550"/>
        <w:gridCol w:w="1550"/>
        <w:gridCol w:w="4260"/>
      </w:tblGrid>
      <w:tr>
        <w:trPr>
          <w:tblHeader w:val="true"/>
          <w:cantSplit/>
        </w:trPr>
        <w:tc>
          <w:tcPr>
            <w:tcW w:type="dxa" w:w="3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Indicador</w:t>
            </w:r>
          </w:p>
        </w:tc>
        <w:tc>
          <w:tcPr>
            <w:tcW w:type="dxa" w:w="1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Resultado</w:t>
            </w:r>
          </w:p>
        </w:tc>
        <w:tc>
          <w:tcPr>
            <w:tcW w:type="dxa" w:w="42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Entradas catalogadas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101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Inventario completo actual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Archivos locales validados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Checksum y estructura correctos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Vínculos externos catalogados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49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Sin copia local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Procedencia remota registrada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73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URL o proveedor identificados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Ingresos manuales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Contenido válido; origen documental por completar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Recursos que requieren atención técnica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Sin errores actuales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Lecturas del viernes enlazadas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13/13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Modal operativo desde la primera frase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Cobertura y brechas conocidas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2850"/>
        <w:gridCol w:w="36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Tipo</w:t>
            </w:r>
          </w:p>
        </w:tc>
        <w:tc>
          <w:tcPr>
            <w:tcW w:type="dxa" w:w="14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Cobertura</w:t>
            </w:r>
          </w:p>
        </w:tc>
        <w:tc>
          <w:tcPr>
            <w:tcW w:type="dxa" w:w="28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Disponible</w:t>
            </w:r>
          </w:p>
        </w:tc>
        <w:tc>
          <w:tcPr>
            <w:tcW w:type="dxa" w:w="36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Pendiente / observación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PPT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11/13 lecciones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1–11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12–13 aún no catalogadas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Audio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49/91 días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1–7, sábado a viernes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8–13: 42 audios pendientes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 del viernes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13/13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Todas las lecciones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Sin brecha; vínculo al modal comprobado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Material para maestros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13/13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Todas las lecciones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Traducciones locales adoptadas y auditadas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Lecturas generales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 Corintios, introducción y resúmenes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Colección vigente; sin meta fija por lección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0DB"/>
          </w:tcPr>
          <w:p>
            <w:pPr>
              <w:spacing w:after="40"/>
            </w:pPr>
            <w:r>
              <w:rPr>
                <w:b/>
                <w:color w:val="17365D"/>
              </w:rPr>
              <w:t>Importante</w:t>
            </w:r>
          </w:p>
          <w:p>
            <w:pPr>
              <w:spacing w:after="0"/>
            </w:pPr>
            <w:r>
              <w:t>“0 recursos con error” significa que todas las entradas existentes están sanas. No significa que ya exista material para cada espacio posible: las brechas de PPT y audio se muestran arriba y podrán incorporarse automáticamente cuando sus fuentes publiquen nuevos archivos.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CECEC"/>
          </w:tcPr>
          <w:p>
            <w:pPr>
              <w:spacing w:after="40"/>
            </w:pPr>
            <w:r>
              <w:rPr>
                <w:b/>
                <w:color w:val="9C2F2F"/>
              </w:rPr>
              <w:t>Gobernanza pendiente</w:t>
            </w:r>
          </w:p>
          <w:p>
            <w:pPr>
              <w:spacing w:after="0"/>
            </w:pPr>
            <w:r>
              <w:t>Las 13 lecturas del viernes y las 15 lecturas generales fueron incorporadas manualmente y están validadas, pero su procedencia documental todavía no está registrada en el catálogo. Conviene completar proveedor, URL o nota editorial cuando se confirme el origen.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Cómo funciona la actualización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80"/>
        <w:gridCol w:w="2130"/>
        <w:gridCol w:w="6450"/>
      </w:tblGrid>
      <w:tr>
        <w:trPr>
          <w:tblHeader w:val="true"/>
          <w:cantSplit/>
        </w:trPr>
        <w:tc>
          <w:tcPr>
            <w:tcW w:type="dxa" w:w="7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Paso</w:t>
            </w:r>
          </w:p>
        </w:tc>
        <w:tc>
          <w:tcPr>
            <w:tcW w:type="dxa" w:w="213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Fase</w:t>
            </w:r>
          </w:p>
        </w:tc>
        <w:tc>
          <w:tcPr>
            <w:tcW w:type="dxa" w:w="64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Salvaguarda / resultado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Catálogo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Define trimestre activo, recursos, orígenes, destinos y reglas.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Reestructuración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Corrige rutas inequívocas, mueve archivos al destino canónico y evita duplicados.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Entradas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Procesa la bandeja manual y consulta fuentes remotas permitidas.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Validación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Comprueba tipo real, extensión, contenido, tamaño y SHA-256 en una zona temporal.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Actualización atómica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Solo reemplaza el archivo anterior cuando el nuevo ya superó todos los controles.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Auditoría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Revisa enlaces, catálogo, manifiesto, lectura del viernes y coherencia de rutas.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Build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Astro y TypeScript deben compilar correctamente; si fallan, la ejecución no se acepta.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Entrega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GitHub crea o actualiza un PR; una persona revisa y decide cuándo fusionarlo.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Producción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verificador posterior compara el manifiesto publicado con el esperado.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Regla especial de las lecturas del viernes</w:t>
      </w:r>
    </w:p>
    <w:p>
      <w:pPr>
        <w:numPr>
          <w:ilvl w:val="0"/>
          <w:numId w:val="11"/>
        </w:numPr>
        <w:spacing w:after="80"/>
      </w:pPr>
      <w:r>
        <w:t>El catálogo identifica el artículo con role: friday-reading y lessonNumber.</w:t>
      </w:r>
    </w:p>
    <w:p>
      <w:pPr>
        <w:numPr>
          <w:ilvl w:val="0"/>
          <w:numId w:val="11"/>
        </w:numPr>
        <w:spacing w:after="80"/>
      </w:pPr>
      <w:r>
        <w:t>La página del viernes busca el primer bloque completo de contenido, sin depender del nombre del libro citado.</w:t>
      </w:r>
    </w:p>
    <w:p>
      <w:pPr>
        <w:numPr>
          <w:ilvl w:val="0"/>
          <w:numId w:val="11"/>
        </w:numPr>
        <w:spacing w:after="80"/>
      </w:pPr>
      <w:r>
        <w:t>Ese bloque se presenta como vínculo accesible y abre ArticleModal con el HTML de la misma lección.</w:t>
      </w:r>
    </w:p>
    <w:p>
      <w:pPr>
        <w:numPr>
          <w:ilvl w:val="0"/>
          <w:numId w:val="11"/>
        </w:numPr>
        <w:spacing w:after="80"/>
      </w:pPr>
      <w:r>
        <w:t>La auditoría rechaza duplicados, ausencia del día viernes o una invitación que no parezca una frase completa.</w:t>
      </w:r>
    </w:p>
    <w:p>
      <w:pPr>
        <w:numPr>
          <w:ilvl w:val="0"/>
          <w:numId w:val="11"/>
        </w:numPr>
        <w:spacing w:after="80"/>
      </w:pPr>
      <w:r>
        <w:t>El inventario registra fridayInvitationLinked; actualmente las 13 lecciones tienen valor verdadero.</w:t>
      </w:r>
    </w:p>
    <w:p>
      <w:pPr>
        <w:pStyle w:val="Heading1"/>
        <w:keepNext/>
      </w:pPr>
      <w:r>
        <w:t>4. Instalación inicial en el equipo Windows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0DB"/>
          </w:tcPr>
          <w:p>
            <w:pPr>
              <w:spacing w:after="40"/>
            </w:pPr>
            <w:r>
              <w:rPr>
                <w:b/>
                <w:color w:val="17365D"/>
              </w:rPr>
              <w:t>Objetivo</w:t>
            </w:r>
          </w:p>
          <w:p>
            <w:pPr>
              <w:spacing w:after="0"/>
            </w:pPr>
            <w:r>
              <w:t>El administrador no debe reconstruir la solución. Debe recibir el repositorio completo después de que esta rama sea revisada y fusionada en main; copiar únicamente scripts o carpetas de recursos dejaría fuera el catálogo, las pruebas y las salvaguardas.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Requisitos que se instalan una sola vez</w:t>
      </w:r>
    </w:p>
    <w:p>
      <w:pPr>
        <w:numPr>
          <w:ilvl w:val="0"/>
          <w:numId w:val="10"/>
        </w:numPr>
        <w:spacing w:after="80"/>
      </w:pPr>
      <w:r>
        <w:t>Git para Windows, con las opciones predeterminadas.</w:t>
      </w:r>
    </w:p>
    <w:p>
      <w:pPr>
        <w:numPr>
          <w:ilvl w:val="0"/>
          <w:numId w:val="10"/>
        </w:numPr>
        <w:spacing w:after="80"/>
      </w:pPr>
      <w:r>
        <w:t>Node.js 22 LTS o una versión compatible que incluya npm.</w:t>
      </w:r>
    </w:p>
    <w:p>
      <w:pPr>
        <w:numPr>
          <w:ilvl w:val="0"/>
          <w:numId w:val="10"/>
        </w:numPr>
        <w:spacing w:after="80"/>
      </w:pPr>
      <w:r>
        <w:t>Python 3.10 o superior. Durante la instalación debe marcarse “Add Python to PATH”.</w:t>
      </w:r>
    </w:p>
    <w:p>
      <w:pPr>
        <w:numPr>
          <w:ilvl w:val="0"/>
          <w:numId w:val="10"/>
        </w:numPr>
        <w:spacing w:after="80"/>
      </w:pPr>
      <w:r>
        <w:t>Google Antigravity con acceso a la carpeta local del proyecto.</w:t>
      </w:r>
    </w:p>
    <w:p>
      <w:pPr>
        <w:numPr>
          <w:ilvl w:val="0"/>
          <w:numId w:val="10"/>
        </w:numPr>
        <w:spacing w:after="80"/>
      </w:pPr>
      <w:r>
        <w:t>Permiso de lectura y escritura sobre el repositorio medina-raul/escuela-sabatica y permiso para crear ramas o pull requests.</w:t>
      </w:r>
    </w:p>
    <w:p>
      <w:pPr>
        <w:pStyle w:val="Heading2"/>
        <w:keepNext/>
      </w:pPr>
      <w:r>
        <w:t>4.2 Descargar y validar el proyecto</w:t>
      </w:r>
    </w:p>
    <w:p>
      <w:r>
        <w:t>Abrir PowerShell y ejecutar, una línea a la vez: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7365D"/>
                <w:sz w:val="17"/>
              </w:rPr>
              <w:t>git clone https://github.com/medina-raul/escuela-sabatica.git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cd escuela-sabatica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git switch main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git pull --ff-only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npm ci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npm run resources:test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npm run resources:plan</w:t>
            </w:r>
          </w:p>
        </w:tc>
      </w:tr>
    </w:tbl>
    <w:p>
      <w:pPr>
        <w:spacing w:after="0"/>
      </w:pPr>
    </w:p>
    <w:p>
      <w:r>
        <w:t>Se considera correctamente instalado si las pruebas terminan sin fallos y resources:plan produce un informe sin modificar archivos.</w:t>
      </w:r>
    </w:p>
    <w:p>
      <w:pPr>
        <w:pStyle w:val="Heading2"/>
        <w:keepNext/>
      </w:pPr>
      <w:r>
        <w:t>4.3 Configurar Antigravity</w:t>
      </w:r>
    </w:p>
    <w:p>
      <w:r>
        <w:t>Abrir en Antigravity la carpeta escuela-sabatica y pegar este encargo exactamente: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7365D"/>
                <w:sz w:val="17"/>
              </w:rPr>
              <w:t>Lee completamente AGENTS.md, RESOURCE_AUTOMATION.md,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.agents/rules/resource-automation.md 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.agents/workflows/actualizar-recursos-semanales.md.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Ejecuta el workflow actualizar-recursos-semanales.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No edites los HTML generados manualmente, no descartes cambios locales,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no omitas pruebas ni build y no fusiones el pull request.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Si existe una tarea teacher-translation, usa el modelo activo, registra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producer=Google Antigravity y deja reviewStatus=pending-review.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7F2EA"/>
          </w:tcPr>
          <w:p>
            <w:pPr>
              <w:spacing w:after="40"/>
            </w:pPr>
            <w:r>
              <w:rPr>
                <w:b/>
                <w:color w:val="17365D"/>
              </w:rPr>
              <w:t>No se necesita una API de traducción</w:t>
            </w:r>
          </w:p>
          <w:p>
            <w:pPr>
              <w:spacing w:after="0"/>
            </w:pPr>
            <w:r>
              <w:t>Antigravity o el agente disponible realiza las tareas de traducción que aparezcan en el informe. El motor valida la fuente y la salida; no requiere TEACHER_TRANSLATION_API_KEY ni variables de modelo.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Crear un acceso directo en el escritorio</w:t>
      </w:r>
    </w:p>
    <w:p>
      <w:pPr>
        <w:numPr>
          <w:ilvl w:val="0"/>
          <w:numId w:val="12"/>
        </w:numPr>
        <w:spacing w:after="80"/>
      </w:pPr>
      <w:r>
        <w:t>Ubicar scripts\run_resource_update.ps1 dentro del proyecto.</w:t>
      </w:r>
    </w:p>
    <w:p>
      <w:pPr>
        <w:numPr>
          <w:ilvl w:val="0"/>
          <w:numId w:val="12"/>
        </w:numPr>
        <w:spacing w:after="80"/>
      </w:pPr>
      <w:r>
        <w:t>Crear un acceso directo nuevo en el escritorio.</w:t>
      </w:r>
    </w:p>
    <w:p>
      <w:pPr>
        <w:numPr>
          <w:ilvl w:val="0"/>
          <w:numId w:val="12"/>
        </w:numPr>
        <w:spacing w:after="80"/>
      </w:pPr>
      <w:r>
        <w:t>Como destino usar PowerShell con la ruta real del archivo, según el ejemplo siguiente.</w:t>
      </w:r>
    </w:p>
    <w:p>
      <w:pPr>
        <w:numPr>
          <w:ilvl w:val="0"/>
          <w:numId w:val="12"/>
        </w:numPr>
        <w:spacing w:after="80"/>
      </w:pPr>
      <w:r>
        <w:t>En “Iniciar en” indicar la carpeta raíz del repositorio.</w:t>
      </w:r>
    </w:p>
    <w:p>
      <w:pPr>
        <w:numPr>
          <w:ilvl w:val="0"/>
          <w:numId w:val="12"/>
        </w:numPr>
        <w:spacing w:after="80"/>
      </w:pPr>
      <w:r>
        <w:t>Nombrarlo “Actualizar recursos Escuela Sabática”.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7365D"/>
                <w:sz w:val="17"/>
              </w:rPr>
              <w:t>powershell.exe -NoProfile -ExecutionPolicy Bypass -File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  <w:t>"C:\ruta\escuela-sabatica\scripts\run_resource_update.ps1"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Rutina semanal para el administrador</w:t>
      </w:r>
    </w:p>
    <w:p>
      <w:pPr>
        <w:numPr>
          <w:ilvl w:val="0"/>
          <w:numId w:val="13"/>
        </w:numPr>
        <w:spacing w:after="80"/>
      </w:pPr>
      <w:r>
        <w:t>Abrir PowerShell en la carpeta del proyecto y ejecutar git status --short --branch. Si aparecen cambios desconocidos, detenerse y pedir revisión.</w:t>
      </w:r>
    </w:p>
    <w:p>
      <w:pPr>
        <w:numPr>
          <w:ilvl w:val="0"/>
          <w:numId w:val="13"/>
        </w:numPr>
        <w:spacing w:after="80"/>
      </w:pPr>
      <w:r>
        <w:t>Actualizar la copia local con git switch main y git pull --ff-only.</w:t>
      </w:r>
    </w:p>
    <w:p>
      <w:pPr>
        <w:numPr>
          <w:ilvl w:val="0"/>
          <w:numId w:val="13"/>
        </w:numPr>
        <w:spacing w:after="80"/>
      </w:pPr>
      <w:r>
        <w:t>Si se recibió material manual, copiarlo a resource-inbox/2026-q3/ respetando la subcarpeta equivalente a public/recursos/2026-q3/.</w:t>
      </w:r>
    </w:p>
    <w:p>
      <w:pPr>
        <w:numPr>
          <w:ilvl w:val="0"/>
          <w:numId w:val="13"/>
        </w:numPr>
        <w:spacing w:after="80"/>
      </w:pPr>
      <w:r>
        <w:t>Ejecutar npm run resources:plan. Esta etapa solo anticipa los cambios.</w:t>
      </w:r>
    </w:p>
    <w:p>
      <w:pPr>
        <w:numPr>
          <w:ilvl w:val="0"/>
          <w:numId w:val="13"/>
        </w:numPr>
        <w:spacing w:after="80"/>
      </w:pPr>
      <w:r>
        <w:t>Ejecutar npm run resources:sync o usar el acceso directo de Windows. El proceso reestructura, descarga, valida, actualiza, audita, inventaría y compila.</w:t>
      </w:r>
    </w:p>
    <w:p>
      <w:pPr>
        <w:numPr>
          <w:ilvl w:val="0"/>
          <w:numId w:val="13"/>
        </w:numPr>
        <w:spacing w:after="80"/>
      </w:pPr>
      <w:r>
        <w:t>Abrir artifacts/resource-sync-report.json. Si errors no está vacío, no continuar ni reemplazar archivos a mano.</w:t>
      </w:r>
    </w:p>
    <w:p>
      <w:pPr>
        <w:numPr>
          <w:ilvl w:val="0"/>
          <w:numId w:val="13"/>
        </w:numPr>
        <w:spacing w:after="80"/>
      </w:pPr>
      <w:r>
        <w:t>Si tasks contiene teacher-translation, abrir Antigravity y usar el encargo de la sección 4.3.</w:t>
      </w:r>
    </w:p>
    <w:p>
      <w:pPr>
        <w:numPr>
          <w:ilvl w:val="0"/>
          <w:numId w:val="13"/>
        </w:numPr>
        <w:spacing w:after="80"/>
      </w:pPr>
      <w:r>
        <w:t>Ejecutar npm run resources:test, npm run resources:audit y npm run build como verificación final.</w:t>
      </w:r>
    </w:p>
    <w:p>
      <w:pPr>
        <w:numPr>
          <w:ilvl w:val="0"/>
          <w:numId w:val="13"/>
        </w:numPr>
        <w:spacing w:after="80"/>
      </w:pPr>
      <w:r>
        <w:t>Revisar git diff y git status. Preparar únicamente cambios de recursos, catálogo, manifiesto y archivos relacionados.</w:t>
      </w:r>
    </w:p>
    <w:p>
      <w:pPr>
        <w:numPr>
          <w:ilvl w:val="0"/>
          <w:numId w:val="13"/>
        </w:numPr>
        <w:spacing w:after="80"/>
      </w:pPr>
      <w:r>
        <w:t>Crear o actualizar el pull request. Anotar fuentes, lecciones modificadas, pruebas y build. Otra persona debe revisarlo antes de fusionar.</w:t>
      </w:r>
    </w:p>
    <w:p>
      <w:pPr>
        <w:numPr>
          <w:ilvl w:val="0"/>
          <w:numId w:val="13"/>
        </w:numPr>
        <w:spacing w:after="80"/>
      </w:pPr>
      <w:r>
        <w:t>Después del despliegue, ejecutar npm run resources:verify para comparar el manifiesto publicado.</w:t>
      </w:r>
    </w:p>
    <w:p>
      <w:pPr>
        <w:pStyle w:val="Heading2"/>
        <w:keepNext/>
      </w:pPr>
      <w:r>
        <w:t>5.1 Qué ya ocurre automáticamente en GitHub</w:t>
      </w:r>
    </w:p>
    <w:p>
      <w:r>
        <w:t>El workflow weekly-resources.yml se ejecuta los lunes a las 11:17 UTC y también admite ejecución manual. Instala el entorno, ejecuta resources:sync, conserva el informe por 30 días y, si detecta cambios, actualiza la rama automation/weekly-resources y abre o actualiza un PR. No fusiona automáticamente.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0DB"/>
          </w:tcPr>
          <w:p>
            <w:pPr>
              <w:spacing w:after="40"/>
            </w:pPr>
            <w:r>
              <w:rPr>
                <w:b/>
                <w:color w:val="17365D"/>
              </w:rPr>
              <w:t>Rol de Antigravity</w:t>
            </w:r>
          </w:p>
          <w:p>
            <w:pPr>
              <w:spacing w:after="0"/>
            </w:pPr>
            <w:r>
              <w:t>GitHub resuelve las fases deterministas. Antigravity interviene principalmente cuando el informe solicita traducciones nuevas para maestros o cuando el administrador quiere ejecutar y revisar localmente el flujo completo.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Lista de aceptación antes de fusionar</w:t>
      </w:r>
    </w:p>
    <w:p>
      <w:pPr>
        <w:numPr>
          <w:ilvl w:val="0"/>
          <w:numId w:val="10"/>
        </w:numPr>
        <w:spacing w:after="80"/>
      </w:pPr>
      <w:r>
        <w:t>El informe no contiene errors.</w:t>
      </w:r>
    </w:p>
    <w:p>
      <w:pPr>
        <w:numPr>
          <w:ilvl w:val="0"/>
          <w:numId w:val="10"/>
        </w:numPr>
        <w:spacing w:after="80"/>
      </w:pPr>
      <w:r>
        <w:t>resources:test, resources:audit y build terminaron correctamente.</w:t>
      </w:r>
    </w:p>
    <w:p>
      <w:pPr>
        <w:numPr>
          <w:ilvl w:val="0"/>
          <w:numId w:val="10"/>
        </w:numPr>
        <w:spacing w:after="80"/>
      </w:pPr>
      <w:r>
        <w:t>No se incluyeron archivos de artifacts/ en el commit.</w:t>
      </w:r>
    </w:p>
    <w:p>
      <w:pPr>
        <w:numPr>
          <w:ilvl w:val="0"/>
          <w:numId w:val="10"/>
        </w:numPr>
        <w:spacing w:after="80"/>
      </w:pPr>
      <w:r>
        <w:t>Cada archivo local nuevo tiene checksum y origen registrados.</w:t>
      </w:r>
    </w:p>
    <w:p>
      <w:pPr>
        <w:numPr>
          <w:ilvl w:val="0"/>
          <w:numId w:val="10"/>
        </w:numPr>
        <w:spacing w:after="80"/>
      </w:pPr>
      <w:r>
        <w:t>Las traducciones nuevas conservan las tres partes y están pending-review.</w:t>
      </w:r>
    </w:p>
    <w:p>
      <w:pPr>
        <w:numPr>
          <w:ilvl w:val="0"/>
          <w:numId w:val="10"/>
        </w:numPr>
        <w:spacing w:after="80"/>
      </w:pPr>
      <w:r>
        <w:t>Los viernes modificados abren el modal desde la primera frase completa.</w:t>
      </w:r>
    </w:p>
    <w:p>
      <w:pPr>
        <w:numPr>
          <w:ilvl w:val="0"/>
          <w:numId w:val="10"/>
        </w:numPr>
        <w:spacing w:after="80"/>
      </w:pPr>
      <w:r>
        <w:t>El PR contiene solo cambios relacionados y no elimina recursos válidos sin explicación.</w:t>
      </w:r>
    </w:p>
    <w:p>
      <w:pPr>
        <w:numPr>
          <w:ilvl w:val="0"/>
          <w:numId w:val="10"/>
        </w:numPr>
        <w:spacing w:after="80"/>
      </w:pPr>
      <w:r>
        <w:t>Después del despliegue, resources:verify no reporta diferencias.</w:t>
      </w:r>
    </w:p>
    <w:p>
      <w:pPr>
        <w:pStyle w:val="Heading2"/>
        <w:keepNext/>
      </w:pPr>
      <w:r>
        <w:t>5.3 Qué hacer si algo falla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Situación</w:t>
            </w:r>
          </w:p>
        </w:tc>
        <w:tc>
          <w:tcPr>
            <w:tcW w:type="dxa" w:w="62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Acción segura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npm no se reconoce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Instalar o reparar Node.js 22; cerrar y volver a abrir PowerShell.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Python no se reconoce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Reinstalar Python marcando Add Python to PATH o comprobar con py -3 --version.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Hay cambios locales antes de actualizar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usar reset ni checkout destructivo. Pedir revisión y conservar los archivos.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Checksum, tipo o tamaño inválido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forzar el reemplazo. Confirmar la fuente y volver a descargar; el archivo vigente permanece intacto.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Dos archivos heredados parecen el mismo recurso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sistema se detiene deliberadamente. Un responsable debe decidir cuál es el correcto.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Aparece teacher-translation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Usar Antigravity con el workflow; nunca traducir editando directamente el HTML.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Falla el build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crear ni fusionar el PR hasta corregir la causa y repetir pruebas, auditoría y build.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hay cambios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 un resultado válido. No crear commits vacíos.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Inventario detallado: recurso, origen y estado</w:t>
      </w:r>
    </w:p>
    <w:p>
      <w:r>
        <w:t>La tabla siguiente enumera las 101 entradas del catálogo activo. “Carga manual” describe el canal de ingreso, no una fuente editorial confirmada; por eso esas filas muestran la procedencia documental como pendiente.</w:t>
      </w:r>
    </w:p>
    <w:p>
      <w:pPr>
        <w:pStyle w:val="Heading2"/>
        <w:keepNext/>
      </w:pPr>
      <w:r>
        <w:t>6.1 Presentaciones PPT (11)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ppt-01</w:t>
              <w:br/>
              <w:t>Presentación PPT — Lección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ppt-02</w:t>
              <w:br/>
              <w:t>Presentación PPT — Lección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ppt-03</w:t>
              <w:br/>
              <w:t>Presentación PPT — Lección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ppt-04</w:t>
              <w:br/>
              <w:t>Presentación PPT — Lección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ppt-05</w:t>
              <w:br/>
              <w:t>Presentación PPT — Lección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ppt-06</w:t>
              <w:br/>
              <w:t>Presentación PPT — Lección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ppt-07</w:t>
              <w:br/>
              <w:t>Presentación PPT — Lección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ppt-08</w:t>
              <w:br/>
              <w:t>Presentación PPT — Lección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8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ppt-09</w:t>
              <w:br/>
              <w:t>Presentación PPT — Lección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9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ppt-10</w:t>
              <w:br/>
              <w:t>Presentación PPT — Lección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10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ppt-11</w:t>
              <w:br/>
              <w:t>Presentación PPT — Lección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Audios diarios (49)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audio-01-domingo</w:t>
              <w:br/>
              <w:t>Lección 1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audio-01-jueves</w:t>
              <w:br/>
              <w:t>Lección 1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audio-01-lunes</w:t>
              <w:br/>
              <w:t>Lección 1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audio-01-martes</w:t>
              <w:br/>
              <w:t>Lección 1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audio-01-miercoles</w:t>
              <w:br/>
              <w:t>Lección 1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audio-01-sabado</w:t>
              <w:br/>
              <w:t>Lección 1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audio-01-viernes</w:t>
              <w:br/>
              <w:t>Lección 1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audio-02-domingo</w:t>
              <w:br/>
              <w:t>Lección 2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audio-02-jueves</w:t>
              <w:br/>
              <w:t>Lección 2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audio-02-lunes</w:t>
              <w:br/>
              <w:t>Lección 2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audio-02-martes</w:t>
              <w:br/>
              <w:t>Lección 2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audio-02-miercoles</w:t>
              <w:br/>
              <w:t>Lección 2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audio-02-sabado</w:t>
              <w:br/>
              <w:t>Lección 2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audio-02-viernes</w:t>
              <w:br/>
              <w:t>Lección 2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audio-03-domingo</w:t>
              <w:br/>
              <w:t>Lección 3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audio-03-jueves</w:t>
              <w:br/>
              <w:t>Lección 3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audio-03-lunes</w:t>
              <w:br/>
              <w:t>Lección 3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audio-03-martes</w:t>
              <w:br/>
              <w:t>Lección 3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audio-03-miercoles</w:t>
              <w:br/>
              <w:t>Lección 3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audio-03-sabado</w:t>
              <w:br/>
              <w:t>Lección 3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audio-03-viernes</w:t>
              <w:br/>
              <w:t>Lección 3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audio-04-domingo</w:t>
              <w:br/>
              <w:t>Lección 4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audio-04-jueves</w:t>
              <w:br/>
              <w:t>Lección 4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audio-04-lunes</w:t>
              <w:br/>
              <w:t>Lección 4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audio-04-martes</w:t>
              <w:br/>
              <w:t>Lección 4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audio-04-miercoles</w:t>
              <w:br/>
              <w:t>Lección 4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audio-04-sabado</w:t>
              <w:br/>
              <w:t>Lección 4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audio-04-viernes</w:t>
              <w:br/>
              <w:t>Lección 4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audio-05-domingo</w:t>
              <w:br/>
              <w:t>Lección 5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audio-05-jueves</w:t>
              <w:br/>
              <w:t>Lección 5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audio-05-lunes</w:t>
              <w:br/>
              <w:t>Lección 5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audio-05-martes</w:t>
              <w:br/>
              <w:t>Lección 5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audio-05-miercoles</w:t>
              <w:br/>
              <w:t>Lección 5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audio-05-sabado</w:t>
              <w:br/>
              <w:t>Lección 5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audio-05-viernes</w:t>
              <w:br/>
              <w:t>Lección 5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audio-06-domingo</w:t>
              <w:br/>
              <w:t>Lección 6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audio-06-jueves</w:t>
              <w:br/>
              <w:t>Lección 6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audio-06-lunes</w:t>
              <w:br/>
              <w:t>Lección 6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audio-06-martes</w:t>
              <w:br/>
              <w:t>Lección 6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audio-06-miercoles</w:t>
              <w:br/>
              <w:t>Lección 6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audio-06-sabado</w:t>
              <w:br/>
              <w:t>Lección 6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audio-06-viernes</w:t>
              <w:br/>
              <w:t>Lección 6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audio-07-domingo</w:t>
              <w:br/>
              <w:t>Lección 7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audio-07-jueves</w:t>
              <w:br/>
              <w:t>Lección 7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audio-07-lunes</w:t>
              <w:br/>
              <w:t>Lección 7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audio-07-martes</w:t>
              <w:br/>
              <w:t>Lección 7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audio-07-miercoles</w:t>
              <w:br/>
              <w:t>Lección 7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audio-07-sabado</w:t>
              <w:br/>
              <w:t>Lección 7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audio-07-viernes</w:t>
              <w:br/>
              <w:t>Lección 7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Lecturas del viernes (13)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reading-friday-01</w:t>
              <w:br/>
              <w:t>Complemento — Lección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reading-friday-02</w:t>
              <w:br/>
              <w:t>Complemento — Lección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reading-friday-03</w:t>
              <w:br/>
              <w:t>Complemento — Lección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reading-friday-04</w:t>
              <w:br/>
              <w:t>Complemento — Lección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reading-friday-05</w:t>
              <w:br/>
              <w:t>Complemento — Lección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reading-friday-06</w:t>
              <w:br/>
              <w:t>Complemento — Lección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reading-friday-07</w:t>
              <w:br/>
              <w:t>Complemento — Lección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reading-friday-08</w:t>
              <w:br/>
              <w:t>Complemento — Lección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8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reading-friday-09</w:t>
              <w:br/>
              <w:t>Complemento — Lección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9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reading-friday-10</w:t>
              <w:br/>
              <w:t>Complemento — Lección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10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reading-friday-11</w:t>
              <w:br/>
              <w:t>Complemento — Lección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reading-friday-12</w:t>
              <w:br/>
              <w:t>Complemento — Lección 12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reading-friday-13</w:t>
              <w:br/>
              <w:t>Complemento — Lección 13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Material para maestros (13)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reading-teacher-01</w:t>
              <w:br/>
              <w:t>Material para Maestros — Lección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reading-teacher-02</w:t>
              <w:br/>
              <w:t>Material para Maestros — Lección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reading-teacher-03</w:t>
              <w:br/>
              <w:t>Material para Maestros — Lección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reading-teacher-04</w:t>
              <w:br/>
              <w:t>Material para Maestros — Lección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reading-teacher-05</w:t>
              <w:br/>
              <w:t>Material para Maestros — Lección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reading-teacher-06</w:t>
              <w:br/>
              <w:t>Material para Maestros — Lección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reading-teacher-07</w:t>
              <w:br/>
              <w:t>Material para Maestros — Lección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reading-teacher-08</w:t>
              <w:br/>
              <w:t>Material para Maestros — Lección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8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reading-teacher-09</w:t>
              <w:br/>
              <w:t>Material para Maestros — Lección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9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reading-teacher-10</w:t>
              <w:br/>
              <w:t>Material para Maestros — Lección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10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reading-teacher-11</w:t>
              <w:br/>
              <w:t>Material para Maestros — Lección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reading-teacher-12</w:t>
              <w:br/>
              <w:t>Material para Maestros — Lección 12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reading-teacher-13</w:t>
              <w:br/>
              <w:t>Material para Maestros — Lección 13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Lecturas generales (15)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reading-general-1-corintios-01</w:t>
              <w:br/>
              <w:t>Resumen — 1 Corintios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reading-general-1-corintios-02</w:t>
              <w:br/>
              <w:t>Resumen — 1 Corintios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reading-general-1-corintios-03</w:t>
              <w:br/>
              <w:t>Resumen — 1 Corintios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reading-general-1-corintios-04</w:t>
              <w:br/>
              <w:t>Resumen — 1 Corintios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reading-general-1-corintios-05</w:t>
              <w:br/>
              <w:t>Resumen — 1 Corintios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reading-general-1-corintios-06</w:t>
              <w:br/>
              <w:t>Resumen — 1 Corintios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reading-general-1-corintios-07</w:t>
              <w:br/>
              <w:t>Resumen — 1 Corintios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reading-general-1-corintios-08</w:t>
              <w:br/>
              <w:t>Resumen — 1 Corintios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reading-general-1-corintios-09</w:t>
              <w:br/>
              <w:t>Resumen — 1 Corintios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reading-general-1-corintios-10</w:t>
              <w:br/>
              <w:t>Resumen — 1 Corintios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reading-general-1-corintios-11</w:t>
              <w:br/>
              <w:t>Resumen — 1 Corintios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reading-general-1-corintios-12</w:t>
              <w:br/>
              <w:t>Resumen — 1 Corintios 12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reading-general-1-corintios-13</w:t>
              <w:br/>
              <w:t>Resumen — 1 Corintios 13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reading-general-1-corintios-14</w:t>
              <w:br/>
              <w:t>Resumen — 1 Corintios 14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reading-general-intro-1-corintios</w:t>
              <w:br/>
              <w:t>Introducción a 1 Corintios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Fuentes maestras y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50"/>
        <w:gridCol w:w="1900"/>
        <w:gridCol w:w="2700"/>
        <w:gridCol w:w="321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Recurso</w:t>
            </w:r>
          </w:p>
        </w:tc>
        <w:tc>
          <w:tcPr>
            <w:tcW w:type="dxa" w:w="19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Origen</w:t>
            </w:r>
          </w:p>
        </w:tc>
        <w:tc>
          <w:tcPr>
            <w:tcW w:type="dxa" w:w="27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Referencia</w:t>
            </w:r>
          </w:p>
        </w:tc>
        <w:tc>
          <w:tcPr>
            <w:tcW w:type="dxa" w:w="32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PPT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Fustero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https://www.fustero.es/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Descarga a temporal, valida PPTX y publica copia local estable.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Audio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Audio Escuela Sabática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https://www.audioescuelasabatica.com/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Conserva enlaces externos catalogados y atribución visible.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y maestros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Adventech / GitHub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github.com/Adventech/sabbath-school-lessons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Fuente estructurada; maestros EN se traducen y revisan antes de publicar.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Viernes y generales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Carga manual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resource-inbox/2026-q3/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Validado técnicamente; completar procedencia editorial en el catálogo.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Sitio desplegado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Vercel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https://escuelasabatica.cl/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manifiesto permite comprobar que producción coincide con el repositorio.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Perspectiva y próximos pasos</w:t>
      </w:r>
    </w:p>
    <w:p>
      <w:r>
        <w:t>El mayor resultado no es un script aislado, sino un contrato operativo. Archivos, catálogo, validadores, workflows y documentación describen la misma realidad. Esto reduce el riesgo de que una mudanza de equipo, un cambio de agente o una reorganización trimestral vuelva a convertir la mantención en trabajo artesanal.</w:t>
      </w:r>
    </w:p>
    <w:p>
      <w:pPr>
        <w:numPr>
          <w:ilvl w:val="0"/>
          <w:numId w:val="14"/>
        </w:numPr>
        <w:spacing w:after="80"/>
      </w:pPr>
      <w:r>
        <w:t>Revisar y fusionar la rama de integración mediante PR en el repositorio de producción.</w:t>
      </w:r>
    </w:p>
    <w:p>
      <w:pPr>
        <w:numPr>
          <w:ilvl w:val="0"/>
          <w:numId w:val="14"/>
        </w:numPr>
        <w:spacing w:after="80"/>
      </w:pPr>
      <w:r>
        <w:t>Completar la procedencia documental de las 28 lecturas cargadas manualmente.</w:t>
      </w:r>
    </w:p>
    <w:p>
      <w:pPr>
        <w:numPr>
          <w:ilvl w:val="0"/>
          <w:numId w:val="14"/>
        </w:numPr>
        <w:spacing w:after="80"/>
      </w:pPr>
      <w:r>
        <w:t>Comprobar permisos de GitHub Actions para contents: write y pull-requests: write.</w:t>
      </w:r>
    </w:p>
    <w:p>
      <w:pPr>
        <w:numPr>
          <w:ilvl w:val="0"/>
          <w:numId w:val="14"/>
        </w:numPr>
        <w:spacing w:after="80"/>
      </w:pPr>
      <w:r>
        <w:t>Realizar una primera ejecución supervisada en Windows y conservar el informe como evidencia de traspaso.</w:t>
      </w:r>
    </w:p>
    <w:p>
      <w:pPr>
        <w:numPr>
          <w:ilvl w:val="0"/>
          <w:numId w:val="14"/>
        </w:numPr>
        <w:spacing w:after="80"/>
      </w:pPr>
      <w:r>
        <w:t>Añadir PPT 12–13 y audios 8–13 cuando las fuentes los publiquen; no crear placeholders para simular cobertura.</w:t>
      </w:r>
    </w:p>
    <w:p>
      <w:pPr>
        <w:numPr>
          <w:ilvl w:val="0"/>
          <w:numId w:val="14"/>
        </w:numPr>
        <w:spacing w:after="80"/>
      </w:pPr>
      <w:r>
        <w:t>Mantener revisión humana de traducciones y de cada PR semanal.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7F2EA"/>
          </w:tcPr>
          <w:p>
            <w:pPr>
              <w:spacing w:after="40"/>
            </w:pPr>
            <w:r>
              <w:rPr>
                <w:b/>
                <w:color w:val="17365D"/>
              </w:rPr>
              <w:t>Criterio de éxito</w:t>
            </w:r>
          </w:p>
          <w:p>
            <w:pPr>
              <w:spacing w:after="0"/>
            </w:pPr>
            <w:r>
              <w:t>La mejora se considera plenamente transferida cuando un administrador no técnico puede abrir el proyecto en Windows, ejecutar el acceso directo o el workflow de Antigravity, obtener un informe sin errores y revisar un PR reproducible sin conocer las rutas internas históricas.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5B6573"/>
        <w:sz w:val="16"/>
      </w:rPr>
      <w:t xml:space="preserve">Guía de implementación   ·   </w:t>
    </w:r>
    <w:r>
      <w:rPr>
        <w:color w:val="5B6573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3" w:color="D7DBE2"/>
      </w:pBdr>
    </w:pPr>
    <w:r>
      <w:rPr>
        <w:b/>
        <w:color w:val="5B6573"/>
        <w:sz w:val="16"/>
      </w:rPr>
      <w:t>ESCUELA SABÁTICA CL</w:t>
    </w:r>
    <w:r>
      <w:rPr>
        <w:color w:val="5B6573"/>
      </w:rPr>
      <w:t xml:space="preserve">   ·   Automatización de recursos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83"/>
    </w:pPr>
    <w:rPr>
      <w:rFonts w:ascii="Calibri" w:hAnsi="Calibri"/>
      <w:color w:val="20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Automatización de recursos — Escuela Sabática CL</dc:title>
  <dc:subject>Guía de implementación, operación semanal e inventario de recursos</dc:subject>
  <dc:creator>Escuela Sabática CL</dc:creator>
  <cp:keywords>automatización, recursos, Windows, Antigravity, auditoría, catálogo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