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ASTANA IT UNIVERSITY</w:t>
      </w:r>
    </w:p>
    <w:p>
      <w:pPr>
        <w:pStyle w:val="Title"/>
        <w:jc w:val="center"/>
      </w:pPr>
      <w:r>
        <w:t>Predicting Defect Prone Java Classes Using Static Code Metrics and Machine Learning</w:t>
      </w:r>
    </w:p>
    <w:p>
      <w:pPr>
        <w:jc w:val="center"/>
      </w:pPr>
      <w:r>
        <w:rPr>
          <w:b/>
          <w:sz w:val="24"/>
        </w:rPr>
        <w:t>Assignment 3 Methodology and Core Practical Implementation</w:t>
      </w:r>
    </w:p>
    <w:p>
      <w:pPr>
        <w:jc w:val="center"/>
      </w:pPr>
      <w:r>
        <w:rPr>
          <w:b w:val="0"/>
          <w:sz w:val="22"/>
        </w:rPr>
        <w:t>Kabysheva Zukhra, Nurbek Medina, Maksatova Akniyet, Nauryzbay Tomiris</w:t>
      </w:r>
    </w:p>
    <w:p>
      <w:pPr>
        <w:jc w:val="center"/>
      </w:pPr>
      <w:r>
        <w:rPr>
          <w:b w:val="0"/>
          <w:sz w:val="21"/>
        </w:rPr>
        <w:t>Group SE-2409   |   Research Methods and Tools   |   18 October 2026</w:t>
      </w:r>
    </w:p>
    <w:p>
      <w:r>
        <w:rPr>
          <w:b w:val="0"/>
        </w:rPr>
        <w:t>This study evaluates static metrics for predicting Java class defects and identifying useful predictors. The report specifies the research protocol and presents a completed, reproducible pilot on five public projects. Its weak transfer to the held-out project motivates broader project-level validation before drawing conclusions.</w:t>
      </w:r>
    </w:p>
    <w:p>
      <w:pPr>
        <w:pStyle w:val="Heading1"/>
      </w:pPr>
      <w:r>
        <w:t>Research Question Aim and Objectives</w:t>
      </w:r>
    </w:p>
    <w:p>
      <w:r>
        <w:rPr>
          <w:b/>
        </w:rPr>
        <w:t>Primary research question</w:t>
      </w:r>
    </w:p>
    <w:p>
      <w:r>
        <w:rPr>
          <w:b w:val="0"/>
        </w:rPr>
        <w:t>How accurately can static code metrics be used with machine learning classifiers to predict defect-prone Java classes in open-source projects, and which metrics contribute most to prediction performance?</w:t>
      </w:r>
    </w:p>
    <w:p>
      <w:r>
        <w:rPr>
          <w:b/>
        </w:rPr>
        <w:t>General objective</w:t>
      </w:r>
    </w:p>
    <w:p>
      <w:r>
        <w:rPr>
          <w:b w:val="0"/>
        </w:rPr>
        <w:t>To investigate how effectively static code metrics can be used with machine learning classifiers to predict defect-prone Java classes in open-source software projects.</w:t>
      </w:r>
    </w:p>
    <w:p>
      <w:r>
        <w:rPr>
          <w:b w:val="0"/>
        </w:rPr>
        <w:t>O1  To collect and prepare a dataset of Java classes labelled as defective or non-defective, together with their static code metrics, from publicly available repositories (e.g. Defects4J, PROMISE).</w:t>
      </w:r>
    </w:p>
    <w:p>
      <w:r>
        <w:rPr>
          <w:b w:val="0"/>
        </w:rPr>
        <w:t>O2  To train and compare several machine learning classifiers (e.g. Logistic Regression, Random Forest, XGBoost) on these metrics using a consistent preprocessing pipeline that addresses class imbalance.</w:t>
      </w:r>
    </w:p>
    <w:p>
      <w:r>
        <w:rPr>
          <w:b w:val="0"/>
        </w:rPr>
        <w:t>O3  To evaluate the models using accuracy, precision, recall, F1-score, and ROC-AUC, and to identify which static code metrics are the most important predictors of defect-proneness.</w:t>
      </w:r>
    </w:p>
    <w:p>
      <w:r>
        <w:br w:type="page"/>
      </w:r>
    </w:p>
    <w:p>
      <w:pPr>
        <w:pStyle w:val="Heading1"/>
      </w:pPr>
      <w:r>
        <w:t>Research Approach and Design</w:t>
      </w:r>
    </w:p>
    <w:p>
      <w:r>
        <w:rPr>
          <w:b w:val="0"/>
        </w:rPr>
        <w:t>We will use a quantitative computational study with a comparative machine-learning benchmark. The design tests how well existing static metrics discriminate Java classes with recorded defects from classes without recorded defects. The unit of analysis is one Java class in one project release. Projects, rather than individual classes, are the units used to assess transferability. The study is predictive and observational: changing a metric is not an intervention, and associations will not establish that a metric causes defects.</w:t>
      </w:r>
    </w:p>
    <w:p>
      <w:r>
        <w:rPr>
          <w:b w:val="0"/>
        </w:rPr>
        <w:t>The design preserves the research question, aim and three objectives from Assignment 2. It compares Logistic Regression, Random Forest and XGBoost under the same data and evaluation conditions. A prior-probability dummy classifier establishes the no-skill reference. Comparing the full metric set with a predefined CK subset addresses whether a smaller representation remains useful. Permutation importance examines reliance on individual predictors. These are distinct analyses; a useful subset does not prove that every included metric is individually important.</w:t>
      </w:r>
    </w:p>
    <w:p>
      <w:r>
        <w:rPr>
          <w:b w:val="0"/>
        </w:rPr>
        <w:t>A developer survey is a reasonable alternative for studying practitioners' attitudes towards prediction tools. It cannot measure classifier discrimination or establish which code metrics improve predictions on labelled classes, so it is less suitable for this question. The completed pilot demonstrates execution; the planned benchmark extends evaluation across held-out projects.</w:t>
      </w:r>
    </w:p>
    <w:p>
      <w:pPr>
        <w:pStyle w:val="Heading1"/>
      </w:pPr>
      <w:r>
        <w:t>Dataset and Research Context</w:t>
      </w:r>
    </w:p>
    <w:p>
      <w:r>
        <w:rPr>
          <w:b w:val="0"/>
        </w:rPr>
        <w:t>The target population comprises classes in open-source Java systems for which static metrics and release-level defect labels are available. Our accessible sample contains five established projects: Ant 1.7, JEdit 4.3, POI 3.0, Ivy 2.0 and Camel 1.6. We use their original PROMISE CSV tables preserved in the authors' Unified Bug Dataset version 1.2, rather than the archive's newly recalculated metrics or its merged file-level dataset [1, 2]. Access is public and has been demonstrated by downloading the five tables.</w:t>
      </w:r>
    </w:p>
    <w:p>
      <w:r>
        <w:rPr>
          <w:b w:val="0"/>
        </w:rPr>
        <w:t>Selection is purposive and constrained by feasibility: each project supplies a common schema of 20 static predictors, class identifiers and a defect count. One release per project limits repeated observations of the same class across versions. The projects cover build automation, an editor, document processing, dependency management and integration. The planned source sample is 2,996 records, already acquired; fold-specific overlap removal can reduce the analysed sample. This size is practical for standard classifiers on a CPU and supports several distinct project contexts. It is not a statistically representative sample of Java development.</w:t>
      </w:r>
    </w:p>
    <w:p>
      <w:r>
        <w:rPr>
          <w:b w:val="0"/>
        </w:rPr>
        <w:t>Include rows with a class identifier, a valid non-negative integer defect count and at least one usable metric. Exclude malformed labels, conflicting labels for an identical project-class identifier, repeated identifiers and entirely missing predictor rows. Additional releases, non-Java data and process or developer variables are excluded. Selection favours older, well-studied projects. We will report each project separately and restrict generalisation to comparable settings rather than claim coverage of contemporary Java systems.</w:t>
      </w:r>
    </w:p>
    <w:p>
      <w:pPr>
        <w:pStyle w:val="Heading1"/>
      </w:pPr>
      <w:r>
        <w:t>Variables Measures and Evaluation Metrics</w:t>
      </w:r>
    </w:p>
    <w:p>
      <w:r>
        <w:rPr>
          <w:b w:val="0"/>
        </w:rPr>
        <w:t>The binary outcome is defective = 1 when the published bug count exceeds zero and 0 otherwise. Zero means no recorded defect under the dataset's collection procedure; it does not prove the class contains no defect. Inputs are the 20 original static metrics listed in Appendix A. The predefined CK condition uses wmc, dit, noc, cbo, rfc and lcom. Their definitions follow the original measurement source [3]; similarly named recalculated metrics will not be substituted.</w:t>
      </w:r>
    </w:p>
    <w:p>
      <w:r>
        <w:rPr>
          <w:b w:val="0"/>
        </w:rPr>
        <w:t>Comparison factors are classifier family and metric-set condition. Project, release, size and defect prevalence are contextual variables that may explain performance differences. Project names, class identifiers, release numbers and bug counts are excluded from predictors. Splits, seed policy, evaluation functions and decision thresholds are held constant across models. Class weighting addresses imbalance without changing validation or test prevalence.</w:t>
      </w:r>
    </w:p>
    <w:p>
      <w:r>
        <w:rPr>
          <w:b w:val="0"/>
        </w:rPr>
        <w:t>Accuracy measures overall correctness, precision measures the proportion of flagged classes with recorded defects, recall measures defect detection, and F1 balances precision and recall. ROC-AUC assesses ranking across thresholds. We additionally use average precision (AP) as the primary selection score because it summarises positive-class ranking; test prevalence supplies its no-skill reference [8]. AP is reported as the library's non-interpolated summary, not trapezoidal PR-AUC. The threshold is fixed at 0.5. Confusion matrices expose missed defects. Validation permutation importance measures AP decrease after shuffling a predictor; it is model-specific and can underestimate correlated predictors [9].</w:t>
      </w:r>
    </w:p>
    <w:p>
      <w:pPr>
        <w:pStyle w:val="Heading1"/>
      </w:pPr>
      <w:r>
        <w:t>Data Preparation and Experimental Procedure</w:t>
      </w:r>
    </w:p>
    <w:p>
      <w:r>
        <w:rPr>
          <w:b w:val="0"/>
        </w:rPr>
        <w:t>First, retrieve the versioned archive record and five named CSV members, preserve their original bytes and record SHA256 hashes, acquisition time and archive paths. ZIP CRC checks verify each extracted member. Parse the duplicate CSV headers explicitly: name identifies the project and name.1 identifies the class. Convert bug counts to binary labels, validate identifiers, coerce predictors to numeric values, replace non-finite or negative sentinel values with missing values, and record all exclusions. Preserve valid extreme metric values.</w:t>
      </w:r>
    </w:p>
    <w:p>
      <w:r>
        <w:rPr>
          <w:b w:val="0"/>
        </w:rPr>
        <w:t>Second, assign complete projects before fitting transformations. The pilot uses Ant, JEdit and POI for training, Ivy for validation, and Camel for testing. These roles were fixed before running the models. Remove validation feature vectors that exactly match training vectors and test vectors matching either earlier partition. Record the removals and acknowledge that equal vectors can represent different code. This conservative rule reduces exact-vector overlap; it cannot establish absence of code clones.</w:t>
      </w:r>
    </w:p>
    <w:p>
      <w:r>
        <w:rPr>
          <w:b w:val="0"/>
        </w:rPr>
        <w:t>Third, fit median imputation inside each training pipeline. Standardise Logistic Regression predictors using training statistics; trees retain their numerical scales. Use balanced class weights for Logistic Regression and Random Forest and the training negative-to-positive ratio for XGBoost [5–7]. No resampling occurs before splitting, and no labels or preprocessing estimates flow back from held-out projects [4].</w:t>
      </w:r>
    </w:p>
    <w:p>
      <w:r>
        <w:rPr>
          <w:b w:val="0"/>
        </w:rPr>
        <w:t>Finally, fit the seven predefined pilot configurations, select one full-feature model by validation AP, compute its validation importance and evaluate all declared configurations on the test project without refitting. Save probabilities, metrics, configurations, split identifiers and checks. The completed run used Python 3.12.14, scikit-learn 1.7.2 and XGBoost 3.1.1 on Windows 11, with CPU execution, one model thread and seed 42. Appendix C records the remaining versions and settings.</w:t>
      </w:r>
    </w:p>
    <w:p>
      <w:pPr>
        <w:pStyle w:val="Heading1"/>
      </w:pPr>
      <w:r>
        <w:t>Data Analysis Plan</w:t>
      </w:r>
    </w:p>
    <w:p>
      <w:r>
        <w:rPr>
          <w:b w:val="0"/>
        </w:rPr>
        <w:t>For Objective 1, report original and retained rows, defect prevalence, missing values, invalid labels and overlap exclusions per project. Summarise predictor distributions and training-only Spearman correlations. This documents what the sample represents and whether correlated or skewed predictors complicate interpretation. The completed pilot supplies these preparation outputs.</w:t>
      </w:r>
    </w:p>
    <w:p>
      <w:r>
        <w:rPr>
          <w:b w:val="0"/>
        </w:rPr>
        <w:t>For Objective 2, extend the pilot to a planned leave-one-project-out benchmark across the same five projects [10]. In each outer iteration, hold one complete project for testing. On the other four projects, use four inner project-held-out folds for configuration selection. Fit preprocessing and compute class weights anew within each inner training fold. Use the same folds for every classifier and feature condition. Apply the overlap rule separately within each split.</w:t>
      </w:r>
    </w:p>
    <w:p>
      <w:r>
        <w:rPr>
          <w:b w:val="0"/>
        </w:rPr>
        <w:t>Evaluate three candidate settings per algorithm: LR C in {0.1, 1, 10}; RF minimum leaf size in {1, 2, 5}; and XGBoost depth in {2, 3, 5}, holding Appendix C settings otherwise fixed. Select by mean inner AP, then refit on all outer-training projects and test once. Repeat stochastic runs with seeds 42, 43 and 44. Compare all 20 metrics against CK6 and against the dummy baseline.</w:t>
      </w:r>
    </w:p>
    <w:p>
      <w:r>
        <w:rPr>
          <w:b w:val="0"/>
        </w:rPr>
        <w:t>For Objective 3, report the requested five metrics plus AP and confusion matrices for each outer project. Average repeated seeds within each project before summarising projects with equal weight. Present paired project-level score differences, medians and ranges; five projects provide limited inferential power, so no superiority claim will rely on treating classes or repeated seeds as independent replications. Inspect false negatives and false positives. Compute 20-repeat permutation importance on inner validation projects, report ranking variability and examine correlated metrics together. The pilot's single validation ranking remains exploratory.</w:t>
      </w:r>
    </w:p>
    <w:p>
      <w:pPr>
        <w:pStyle w:val="Heading1"/>
      </w:pPr>
      <w:r>
        <w:t>Research Quality Ethics Privacy and Reproducibility</w:t>
      </w:r>
    </w:p>
    <w:p>
      <w:r>
        <w:rPr>
          <w:b w:val="0"/>
        </w:rPr>
        <w:t>Construct validity depends on published defect labels and metric definitions. Label noise, incomplete bug tracking and tool-specific metrics can weaken the relationship between measured defect-proneness and real faults [1, 3]. Internal validity is supported by fixed project partitions, training-only transformations, excluded outcome fields and common scoring code. Exact-vector purging reduces one overlap risk but may remove legitimate simple classes and change the evaluated population. Sensitivity analysis should retain those classes while keeping project separation.</w:t>
      </w:r>
    </w:p>
    <w:p>
      <w:r>
        <w:rPr>
          <w:b w:val="0"/>
        </w:rPr>
        <w:t>External validity is limited by five historical projects and one dataset family. The pilot has only one validation and one test project; its results cannot establish a universal best classifier. Repeated seeds assess algorithmic variation, not additional independent projects. Correlated metrics also prevent a causal interpretation of importance [9].</w:t>
      </w:r>
    </w:p>
    <w:p>
      <w:r>
        <w:rPr>
          <w:b w:val="0"/>
        </w:rPr>
        <w:t>No people are recruited. Analysis uses technical metrics and project metadata; developer names, emails and commit histories are unnecessary. Processed class identifiers are hashed for traceability, not claimed to be anonymous personal data. Preserve dataset attribution and the archive's recorded CC BY 4.0 notice [2]. Store working files with restricted access on a password-protected device, retain them through assessment and any required university retention period, then remove redundant copies. Share technical evidence without personal fields or proprietary code. Versioned data, pinned dependencies, scripts, hashes, prediction records and checks support independent reproduction.</w:t>
      </w:r>
    </w:p>
    <w:p>
      <w:r>
        <w:br w:type="page"/>
      </w:r>
    </w:p>
    <w:p>
      <w:pPr>
        <w:pStyle w:val="Heading1"/>
      </w:pPr>
      <w:r>
        <w:t>Core Practical Component and Initial Implementation</w:t>
      </w:r>
    </w:p>
    <w:p>
      <w:r>
        <w:rPr>
          <w:b w:val="0"/>
        </w:rPr>
        <w:t>The machine-learning track is implemented in the accompanying Assignment3_Practical package. The scripts were executed against actual archived data on 18 October 2026. The pilot completes acquisition, cleaning, project separation, preprocessing, model fitting, validation selection, evaluation and an initial importance analysis. It supports O1 through a dataset audit, O2 through seven baseline and model conditions, and O3 through prediction metrics and validation importance.</w:t>
      </w:r>
    </w:p>
    <w:p>
      <w:pPr>
        <w:pStyle w:val="Heading2"/>
      </w:pPr>
      <w:r>
        <w:t>Data Preparation Outputs</w:t>
      </w:r>
    </w:p>
    <w:tbl>
      <w:tblPr>
        <w:tblW w:type="auto" w:w="0"/>
        <w:jc w:val="center"/>
        <w:tblLayout w:type="fixed"/>
        <w:tblLook w:firstColumn="1" w:firstRow="1" w:lastColumn="0" w:lastRow="0" w:noHBand="0" w:noVBand="1" w:val="04A0"/>
      </w:tblPr>
      <w:tblGrid>
        <w:gridCol w:w="2268"/>
        <w:gridCol w:w="1417"/>
        <w:gridCol w:w="1757"/>
        <w:gridCol w:w="1757"/>
        <w:gridCol w:w="2324"/>
      </w:tblGrid>
      <w:tr>
        <w:trPr>
          <w:tblHeade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Project and release</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jc w:val="center"/>
            </w:pPr>
            <w:r>
              <w:rPr>
                <w:b/>
                <w:sz w:val="21"/>
              </w:rPr>
              <w:t>Role</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Original rows</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Retained rows</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Defective retained</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Ant 1.7</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Train</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745</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745</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166</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JEdit 4.3</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Train</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492</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492</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11</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POI 3.0</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Train</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442</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442</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281</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Ivy 2.0</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Validation</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352</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341</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39</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Camel 1.6</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Test</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965</w:t>
            </w:r>
          </w:p>
        </w:tc>
        <w:tc>
          <w:tcPr>
            <w:tcW w:type="dxa" w:w="17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934</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187</w:t>
            </w:r>
          </w:p>
        </w:tc>
      </w:tr>
    </w:tbl>
    <w:p>
      <w:pPr>
        <w:spacing w:after="40"/>
      </w:pPr>
      <w:r>
        <w:rPr>
          <w:b w:val="0"/>
          <w:sz w:val="4"/>
        </w:rPr>
      </w:r>
    </w:p>
    <w:p>
      <w:r>
        <w:rPr>
          <w:b w:val="0"/>
        </w:rPr>
        <w:t>The five tables contain 2,996 original rows and 20 predictors. No rows failed identifier or label checks, no predictor cells were missing, and no negative sentinel values were found. Exact-vector purging removed 11 validation and 31 test rows. The final partitions contain 1,679 training, 341 validation and 934 test classes, for 2,954 analysed records. Training prevalence is 27.28%; validation prevalence is 11.44%; test prevalence is 20.02%. The differing prevalences are themselves a transfer limitation.</w:t>
      </w:r>
    </w:p>
    <w:p>
      <w:pPr>
        <w:pStyle w:val="Heading2"/>
      </w:pPr>
      <w:r>
        <w:t>Model Conditions and Validation Selection</w:t>
      </w:r>
    </w:p>
    <w:p>
      <w:r>
        <w:rPr>
          <w:b w:val="0"/>
        </w:rPr>
        <w:t>The seven conditions are the dummy baseline, LR20, RF20, XGB20, LR6, RF6 and XGB6. Suffix 20 denotes all static predictors; suffix 6 denotes the fixed CK subset. Hyperparameters were fixed for this pilot. No accuracy target, search or threshold optimisation was applied. Among full-feature models, validation AP was 0.3853 for LR, 0.4057 for RF and 0.4213 for XGBoost. XGB20 was therefore selected before test evaluation. Test scores did not change that selection.</w:t>
      </w:r>
    </w:p>
    <w:p>
      <w:pPr>
        <w:pStyle w:val="Heading2"/>
      </w:pPr>
      <w:r>
        <w:t>Initial Test Evaluation</w:t>
      </w:r>
    </w:p>
    <w:tbl>
      <w:tblPr>
        <w:tblW w:type="auto" w:w="0"/>
        <w:jc w:val="center"/>
        <w:tblLayout w:type="fixed"/>
        <w:tblLook w:firstColumn="1" w:firstRow="1" w:lastColumn="0" w:lastRow="0" w:noHBand="0" w:noVBand="1" w:val="04A0"/>
      </w:tblPr>
      <w:tblGrid>
        <w:gridCol w:w="1474"/>
        <w:gridCol w:w="1361"/>
        <w:gridCol w:w="1361"/>
        <w:gridCol w:w="1247"/>
        <w:gridCol w:w="1191"/>
        <w:gridCol w:w="1474"/>
        <w:gridCol w:w="1417"/>
      </w:tblGrid>
      <w:tr>
        <w:trPr>
          <w:tblHeade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shd w:fill="E7E6E6"/>
          </w:tcPr>
          <w:p>
            <w:pPr>
              <w:spacing w:after="10" w:before="10" w:line="252" w:lineRule="auto"/>
            </w:pPr>
            <w:r>
              <w:rPr>
                <w:b/>
                <w:sz w:val="21"/>
              </w:rPr>
              <w:t>Model</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shd w:fill="E7E6E6"/>
          </w:tcPr>
          <w:p>
            <w:pPr>
              <w:spacing w:after="10" w:before="10" w:line="252" w:lineRule="auto"/>
              <w:jc w:val="center"/>
            </w:pPr>
            <w:r>
              <w:rPr>
                <w:b/>
                <w:sz w:val="21"/>
              </w:rPr>
              <w:t>Accuracy</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shd w:fill="E7E6E6"/>
          </w:tcPr>
          <w:p>
            <w:pPr>
              <w:spacing w:after="10" w:before="10" w:line="252" w:lineRule="auto"/>
              <w:jc w:val="center"/>
            </w:pPr>
            <w:r>
              <w:rPr>
                <w:b/>
                <w:sz w:val="21"/>
              </w:rPr>
              <w:t>Precision</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shd w:fill="E7E6E6"/>
          </w:tcPr>
          <w:p>
            <w:pPr>
              <w:spacing w:after="10" w:before="10" w:line="252" w:lineRule="auto"/>
              <w:jc w:val="center"/>
            </w:pPr>
            <w:r>
              <w:rPr>
                <w:b/>
                <w:sz w:val="21"/>
              </w:rPr>
              <w:t>Recall</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shd w:fill="E7E6E6"/>
          </w:tcPr>
          <w:p>
            <w:pPr>
              <w:spacing w:after="10" w:before="10" w:line="252" w:lineRule="auto"/>
              <w:jc w:val="center"/>
            </w:pPr>
            <w:r>
              <w:rPr>
                <w:b/>
                <w:sz w:val="21"/>
              </w:rPr>
              <w:t>F1</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shd w:fill="E7E6E6"/>
          </w:tcPr>
          <w:p>
            <w:pPr>
              <w:spacing w:after="10" w:before="10" w:line="252" w:lineRule="auto"/>
              <w:jc w:val="center"/>
            </w:pPr>
            <w:r>
              <w:rPr>
                <w:b/>
                <w:sz w:val="21"/>
              </w:rPr>
              <w:t>ROC AUC</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shd w:fill="E7E6E6"/>
          </w:tcPr>
          <w:p>
            <w:pPr>
              <w:spacing w:after="10" w:before="10" w:line="252" w:lineRule="auto"/>
              <w:jc w:val="center"/>
            </w:pPr>
            <w:r>
              <w:rPr>
                <w:b/>
                <w:sz w:val="21"/>
              </w:rPr>
              <w:t>AP</w:t>
            </w:r>
          </w:p>
        </w:tc>
      </w:tr>
      <w:tr>
        <w:trP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pPr>
            <w:r>
              <w:rPr>
                <w:b w:val="0"/>
                <w:sz w:val="21"/>
              </w:rPr>
              <w:t>Dummy</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0.800</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0.000</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0.000</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0.000</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0.500</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0.200</w:t>
            </w:r>
          </w:p>
        </w:tc>
      </w:tr>
      <w:tr>
        <w:trP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pPr>
            <w:r>
              <w:rPr>
                <w:b w:val="0"/>
                <w:sz w:val="21"/>
              </w:rPr>
              <w:t>LR20</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0.651</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0.253</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0.380</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0.303</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0.545</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0.229</w:t>
            </w:r>
          </w:p>
        </w:tc>
      </w:tr>
      <w:tr>
        <w:trP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pPr>
            <w:r>
              <w:rPr>
                <w:b w:val="0"/>
                <w:sz w:val="21"/>
              </w:rPr>
              <w:t>RF20</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0.783</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0.346</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0.096</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0.151</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0.578</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0.264</w:t>
            </w:r>
          </w:p>
        </w:tc>
      </w:tr>
      <w:tr>
        <w:trP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pPr>
            <w:r>
              <w:rPr>
                <w:b w:val="0"/>
                <w:sz w:val="21"/>
              </w:rPr>
              <w:t>XGB20</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0.717</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0.298</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0.305</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0.302</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0.592</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0.258</w:t>
            </w:r>
          </w:p>
        </w:tc>
      </w:tr>
      <w:tr>
        <w:trP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pPr>
            <w:r>
              <w:rPr>
                <w:b w:val="0"/>
                <w:sz w:val="21"/>
              </w:rPr>
              <w:t>LR6</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0.693</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0.288</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0.364</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0.322</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0.581</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0.295</w:t>
            </w:r>
          </w:p>
        </w:tc>
      </w:tr>
      <w:tr>
        <w:trP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pPr>
            <w:r>
              <w:rPr>
                <w:b w:val="0"/>
                <w:sz w:val="21"/>
              </w:rPr>
              <w:t>RF6</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0.729</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0.264</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0.198</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0.226</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0.559</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0.231</w:t>
            </w:r>
          </w:p>
        </w:tc>
      </w:tr>
      <w:tr>
        <w:trPr>
          <w:cantSplit/>
        </w:trPr>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pPr>
            <w:r>
              <w:rPr>
                <w:b w:val="0"/>
                <w:sz w:val="21"/>
              </w:rPr>
              <w:t>XGB6</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0.671</w:t>
            </w:r>
          </w:p>
        </w:tc>
        <w:tc>
          <w:tcPr>
            <w:tcW w:type="dxa" w:w="136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0.271</w:t>
            </w:r>
          </w:p>
        </w:tc>
        <w:tc>
          <w:tcPr>
            <w:tcW w:type="dxa" w:w="124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0.380</w:t>
            </w:r>
          </w:p>
        </w:tc>
        <w:tc>
          <w:tcPr>
            <w:tcW w:type="dxa" w:w="1191"/>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0.316</w:t>
            </w:r>
          </w:p>
        </w:tc>
        <w:tc>
          <w:tcPr>
            <w:tcW w:type="dxa" w:w="1474"/>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0.577</w:t>
            </w:r>
          </w:p>
        </w:tc>
        <w:tc>
          <w:tcPr>
            <w:tcW w:type="dxa" w:w="1417"/>
            <w:vAlign w:val="center"/>
            <w:tcMar>
              <w:top w:w="40" w:type="dxa"/>
              <w:left w:w="85" w:type="dxa"/>
              <w:bottom w:w="40" w:type="dxa"/>
              <w:right w:w="85" w:type="dxa"/>
            </w:tcMar>
            <w:tcBorders>
              <w:top w:val="single" w:sz="4" w:color="D9D9D9"/>
              <w:left w:val="single" w:sz="4" w:color="D9D9D9"/>
              <w:bottom w:val="single" w:sz="4" w:color="D9D9D9"/>
              <w:right w:val="single" w:sz="4" w:color="D9D9D9"/>
            </w:tcBorders>
          </w:tcPr>
          <w:p>
            <w:pPr>
              <w:spacing w:after="10" w:before="10" w:line="252" w:lineRule="auto"/>
              <w:jc w:val="center"/>
            </w:pPr>
            <w:r>
              <w:rPr>
                <w:b w:val="0"/>
                <w:sz w:val="21"/>
              </w:rPr>
              <w:t>0.242</w:t>
            </w:r>
          </w:p>
        </w:tc>
      </w:tr>
    </w:tbl>
    <w:p>
      <w:pPr>
        <w:spacing w:after="40"/>
      </w:pPr>
      <w:r>
        <w:rPr>
          <w:b w:val="0"/>
          <w:sz w:val="4"/>
        </w:rPr>
      </w:r>
    </w:p>
    <w:p>
      <w:r>
        <w:rPr>
          <w:b w:val="0"/>
        </w:rPr>
        <w:t>All scores are proportions on the same 934 held-out Camel classes. The dummy predicts no positive classes at threshold 0.5; undefined positive precision is recorded as zero. Its accuracy of 0.800 illustrates why accuracy alone is inadequate. The dummy AP of 0.200 equals the positive prevalence. These results demonstrate that the pipeline runs; they are not the completed multi-project benchmark.</w:t>
      </w:r>
    </w:p>
    <w:p>
      <w:pPr>
        <w:pStyle w:val="Heading2"/>
      </w:pPr>
      <w:r>
        <w:t>Observed Errors and Metric Contribution</w:t>
      </w:r>
    </w:p>
    <w:p>
      <w:r>
        <w:rPr>
          <w:b w:val="0"/>
        </w:rPr>
        <w:t>Selected XGB20 produced TN = 613, FP = 134, FN = 130 and TP = 57. It detected 30.48% of the recorded defective classes and missed 69.52%. Its AP fell from 0.421 on Ivy to 0.258 on Camel, and ROC-AUC fell from 0.832 to 0.592. Different prevalence affects AP comparisons; weak test recall and discrimination also show that the fixed configuration transfers poorly. LR6 has the highest observed test AP, but this post-evaluation observation does not justify switching the selected model or claiming general superiority.</w:t>
      </w:r>
    </w:p>
    <w:tbl>
      <w:tblPr>
        <w:tblW w:type="auto" w:w="0"/>
        <w:jc w:val="center"/>
        <w:tblLayout w:type="fixed"/>
        <w:tblLook w:firstColumn="1" w:firstRow="1" w:lastColumn="0" w:lastRow="0" w:noHBand="0" w:noVBand="1" w:val="04A0"/>
      </w:tblPr>
      <w:tblGrid>
        <w:gridCol w:w="2835"/>
        <w:gridCol w:w="3402"/>
        <w:gridCol w:w="3288"/>
      </w:tblGrid>
      <w:tr>
        <w:trPr>
          <w:tblHeade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Metric</w:t>
            </w:r>
          </w:p>
        </w:tc>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Mean AP decrease</w:t>
            </w:r>
          </w:p>
        </w:tc>
        <w:tc>
          <w:tcPr>
            <w:tcW w:type="dxa" w:w="3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Permutation SD</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lcom3</w:t>
            </w:r>
          </w:p>
        </w:tc>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0.0712</w:t>
            </w:r>
          </w:p>
        </w:tc>
        <w:tc>
          <w:tcPr>
            <w:tcW w:type="dxa" w:w="3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0.0224</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rfc</w:t>
            </w:r>
          </w:p>
        </w:tc>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0.0708</w:t>
            </w:r>
          </w:p>
        </w:tc>
        <w:tc>
          <w:tcPr>
            <w:tcW w:type="dxa" w:w="3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0.0140</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mfa</w:t>
            </w:r>
          </w:p>
        </w:tc>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0.0512</w:t>
            </w:r>
          </w:p>
        </w:tc>
        <w:tc>
          <w:tcPr>
            <w:tcW w:type="dxa" w:w="3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0.0224</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npm</w:t>
            </w:r>
          </w:p>
        </w:tc>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0.0452</w:t>
            </w:r>
          </w:p>
        </w:tc>
        <w:tc>
          <w:tcPr>
            <w:tcW w:type="dxa" w:w="3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0.0347</w:t>
            </w:r>
          </w:p>
        </w:tc>
      </w:tr>
      <w:tr>
        <w:trPr>
          <w:cantSplit/>
        </w:trPr>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cbm</w:t>
            </w:r>
          </w:p>
        </w:tc>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0.0343</w:t>
            </w:r>
          </w:p>
        </w:tc>
        <w:tc>
          <w:tcPr>
            <w:tcW w:type="dxa" w:w="3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1"/>
              </w:rPr>
              <w:t>0.0413</w:t>
            </w:r>
          </w:p>
        </w:tc>
      </w:tr>
    </w:tbl>
    <w:p>
      <w:pPr>
        <w:spacing w:after="40"/>
      </w:pPr>
      <w:r>
        <w:rPr>
          <w:b w:val="0"/>
          <w:sz w:val="4"/>
        </w:rPr>
      </w:r>
    </w:p>
    <w:p>
      <w:r>
        <w:rPr>
          <w:b w:val="0"/>
        </w:rPr>
        <w:t>The table reports the five largest decreases for selected XGB20 on Ivy, with 20 shuffles per metric. LCOM3 and RFC rank highest in this validation run. The standard deviation measures variation across permutations, not uncertainty across independent projects. Validation-based selection, correlated predictors and weak test performance prevent treating this ordering as a general answer to the research question.</w:t>
      </w:r>
    </w:p>
    <w:p>
      <w:pPr>
        <w:pStyle w:val="Heading2"/>
      </w:pPr>
      <w:r>
        <w:t>Limitations and Next Implementation Step</w:t>
      </w:r>
    </w:p>
    <w:p>
      <w:r>
        <w:rPr>
          <w:b w:val="0"/>
        </w:rPr>
        <w:t>The first run reveals weak detection after transfer and a large shift in prevalence across projects. A single historical validation project may favour a configuration that is unsuitable for Camel. Next, execute the planned nested project-held-out benchmark and examine per-project errors and importance stability. Any threshold exploration must occur inside training and validation only. The present Camel results have already been inspected and cannot serve as a fresh external confirmation after further development. A later article should label the resulting five-project benchmark as exploratory and use an additional untouched project for confirmatory evaluation.</w:t>
      </w:r>
    </w:p>
    <w:p>
      <w:pPr>
        <w:sectPr>
          <w:footerReference w:type="default" r:id="rId9"/>
          <w:pgSz w:w="11906" w:h="16838"/>
          <w:pgMar w:top="1077" w:right="1191" w:bottom="1077" w:left="1191" w:header="454" w:footer="454" w:gutter="0"/>
          <w:cols w:space="720"/>
          <w:docGrid w:linePitch="360"/>
        </w:sectPr>
      </w:pPr>
    </w:p>
    <w:p>
      <w:pPr>
        <w:pStyle w:val="Heading1"/>
      </w:pPr>
      <w:r>
        <w:t>Methodology Alignment Table</w:t>
      </w:r>
    </w:p>
    <w:p>
      <w:r>
        <w:rPr>
          <w:b w:val="0"/>
          <w:sz w:val="22"/>
        </w:rPr>
        <w:t>Each objective retains the wording and scope established in Assignment 2. The completed pilot supplies initial evidence; the project-held-out benchmark remains planned.</w:t>
      </w:r>
    </w:p>
    <w:tbl>
      <w:tblPr>
        <w:tblW w:type="auto" w:w="0"/>
        <w:jc w:val="center"/>
        <w:tblLayout w:type="fixed"/>
        <w:tblLook w:firstColumn="1" w:firstRow="1" w:lastColumn="0" w:lastRow="0" w:noHBand="0" w:noVBand="1" w:val="04A0"/>
      </w:tblPr>
      <w:tblGrid>
        <w:gridCol w:w="2381"/>
        <w:gridCol w:w="2381"/>
        <w:gridCol w:w="2551"/>
        <w:gridCol w:w="2608"/>
        <w:gridCol w:w="2551"/>
        <w:gridCol w:w="2324"/>
      </w:tblGrid>
      <w:tr>
        <w:trPr>
          <w:tblHeade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Research objective</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Data or evidence needed</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Source or sample</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Collection or instrument</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Analysis method</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Evidence for the research question</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O1  Collect and prepare labelled Java classes and static metrics.</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Metric values, defect counts, project IDs and preparation audit.</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Five original PROMISE tables in Unified Bug Dataset 1.2; 2,996 source rows.</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fetch_data.py and run_pipeline.py; hashes, schema and overlap checks.</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Per-project counts, prevalence, missingness, exclusions and distributions.</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Defines the Java class sample and shows usable predictors and labels.</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O2  Compare LR, RF and XGBoost with consistent preprocessing and imbalance handling.</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Identical project splits, model settings, weights and predicted probabilities.</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Pilot train Ant/JEdit/POI, validate Ivy, test Camel; planned five outer project folds.</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Training-only pipelines; all20 and CK6; dummy reference; fixed pilot seed 42.</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Pilot validation AP selection; planned nested project validation and three seeds.</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Estimates how prediction depends on algorithm and metric subset under common conditions.</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O3  Evaluate prediction and identify important static metrics.</w:t>
            </w:r>
          </w:p>
        </w:tc>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Accuracy, precision, recall, F1, ROC-AUC, AP, error records and importance ranks.</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Same held-out predictions; validation projects for importance.</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Shared scoring functions and 20-repeat validation permutation importance.</w:t>
            </w:r>
          </w:p>
        </w:tc>
        <w:tc>
          <w:tcPr>
            <w:tcW w:type="dxa" w:w="25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Per-project metrics and paired differences; false-negative analysis; ranking stability and correlations.</w:t>
            </w:r>
          </w:p>
        </w:tc>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Answers predictive accuracy and model reliance on individual static metrics with stated limits.</w:t>
            </w:r>
          </w:p>
        </w:tc>
      </w:tr>
    </w:tbl>
    <w:p>
      <w:pPr>
        <w:spacing w:after="40"/>
      </w:pPr>
      <w:r>
        <w:rPr>
          <w:b w:val="0"/>
          <w:sz w:val="4"/>
        </w:rPr>
      </w:r>
    </w:p>
    <w:p>
      <w:pPr>
        <w:sectPr>
          <w:pgSz w:w="16838" w:h="11906" w:orient="landscape"/>
          <w:pgMar w:top="1077" w:right="1020" w:bottom="1077" w:left="1020" w:header="454" w:footer="454" w:gutter="0"/>
          <w:cols w:space="720"/>
          <w:docGrid w:linePitch="360"/>
        </w:sectPr>
      </w:pPr>
    </w:p>
    <w:p>
      <w:pPr>
        <w:pStyle w:val="Heading1"/>
      </w:pPr>
      <w:r>
        <w:t>References</w:t>
      </w:r>
    </w:p>
    <w:p>
      <w:pPr>
        <w:spacing w:after="140"/>
      </w:pPr>
      <w:r>
        <w:rPr>
          <w:b w:val="0"/>
          <w:sz w:val="21"/>
        </w:rPr>
        <w:t>[1]  Ferenc, R., Tóth, Z., Ladányi, G., Siket, I., &amp; Gyimóthy, T. (2020). A public unified bug dataset for java and its assessment regarding metrics and bug prediction. Software Quality Journal, 28, 1447–1506. https://doi.org/10.1007/s11219-020-09515-0</w:t>
      </w:r>
    </w:p>
    <w:p>
      <w:pPr>
        <w:spacing w:after="140"/>
      </w:pPr>
      <w:r>
        <w:rPr>
          <w:b w:val="0"/>
          <w:sz w:val="21"/>
        </w:rPr>
        <w:t>[2]  Ferenc, R., Tóth, Z., Ladányi, G., Siket, I., &amp; Gyimóthy, T. (2020). Unified Bug Dataset (Version 1.2) [Data set]. Zenodo. https://doi.org/10.5281/zenodo.3693686</w:t>
      </w:r>
    </w:p>
    <w:p>
      <w:pPr>
        <w:spacing w:after="140"/>
      </w:pPr>
      <w:r>
        <w:rPr>
          <w:b w:val="0"/>
          <w:sz w:val="21"/>
        </w:rPr>
        <w:t>[3]  Jureczko, M., &amp; Madeyski, L. (2014). Software product metrics used to build defect prediction models (Revision 2) [Technical report]. Wroclaw University of Technology. https://madeyski.e-informatyka.pl/download/JureczkoMadeyskiSoftwareProductMetrics.pdf</w:t>
      </w:r>
    </w:p>
    <w:p>
      <w:pPr>
        <w:spacing w:after="140"/>
      </w:pPr>
      <w:r>
        <w:rPr>
          <w:b w:val="0"/>
          <w:sz w:val="21"/>
        </w:rPr>
        <w:t>[4]  scikit-learn developers. (n.d.). Common pitfalls and recommended practices. scikit-learn 1.7 documentation. https://scikit-learn.org/1.7/common_pitfalls.html</w:t>
      </w:r>
    </w:p>
    <w:p>
      <w:pPr>
        <w:spacing w:after="140"/>
      </w:pPr>
      <w:r>
        <w:rPr>
          <w:b w:val="0"/>
          <w:sz w:val="21"/>
        </w:rPr>
        <w:t>[5]  scikit-learn developers. (n.d.). LogisticRegression. scikit-learn 1.7 API reference. https://scikit-learn.org/1.7/modules/generated/sklearn.linear_model.LogisticRegression.html</w:t>
      </w:r>
    </w:p>
    <w:p>
      <w:pPr>
        <w:spacing w:after="140"/>
      </w:pPr>
      <w:r>
        <w:rPr>
          <w:b w:val="0"/>
          <w:sz w:val="21"/>
        </w:rPr>
        <w:t>[6]  scikit-learn developers. (n.d.). RandomForestClassifier. scikit-learn 1.7 API reference. https://scikit-learn.org/1.7/modules/generated/sklearn.ensemble.RandomForestClassifier.html</w:t>
      </w:r>
    </w:p>
    <w:p>
      <w:pPr>
        <w:spacing w:after="140"/>
      </w:pPr>
      <w:r>
        <w:rPr>
          <w:b w:val="0"/>
          <w:sz w:val="21"/>
        </w:rPr>
        <w:t>[7]  XGBoost developers. (n.d.). Python API reference and XGBClassifier. XGBoost 3.1 documentation. https://xgboost.readthedocs.io/en/release_3.1.0/python/python_api.html</w:t>
      </w:r>
    </w:p>
    <w:p>
      <w:pPr>
        <w:spacing w:after="140"/>
      </w:pPr>
      <w:r>
        <w:rPr>
          <w:b w:val="0"/>
          <w:sz w:val="21"/>
        </w:rPr>
        <w:t>[8]  scikit-learn developers. (n.d.). Metrics and scoring and average precision. scikit-learn 1.7 documentation. https://scikit-learn.org/1.7/modules/model_evaluation.html</w:t>
      </w:r>
    </w:p>
    <w:p>
      <w:pPr>
        <w:spacing w:after="140"/>
      </w:pPr>
      <w:r>
        <w:rPr>
          <w:b w:val="0"/>
          <w:sz w:val="21"/>
        </w:rPr>
        <w:t>[9]  scikit-learn developers. (n.d.). Permutation feature importance. scikit-learn 1.7 documentation. https://scikit-learn.org/1.7/modules/permutation_importance.html</w:t>
      </w:r>
    </w:p>
    <w:p>
      <w:pPr>
        <w:spacing w:after="140"/>
      </w:pPr>
      <w:r>
        <w:rPr>
          <w:b w:val="0"/>
          <w:sz w:val="21"/>
        </w:rPr>
        <w:t>[10]  scikit-learn developers. (n.d.). LeaveOneGroupOut. scikit-learn 1.7 API reference. https://scikit-learn.org/1.7/modules/generated/sklearn.model_selection.LeaveOneGroupOut.html</w:t>
      </w:r>
    </w:p>
    <w:p>
      <w:r>
        <w:rPr>
          <w:b w:val="0"/>
          <w:sz w:val="20"/>
        </w:rPr>
        <w:t>Technical documentation and dataset metadata accessed 18 October 2026.</w:t>
      </w:r>
    </w:p>
    <w:p>
      <w:r>
        <w:br w:type="page"/>
      </w:r>
    </w:p>
    <w:p>
      <w:pPr>
        <w:pStyle w:val="Heading1"/>
      </w:pPr>
      <w:r>
        <w:t>Appendix A Dataset Specification and Data Dictionary</w:t>
      </w:r>
    </w:p>
    <w:p>
      <w:r>
        <w:rPr>
          <w:b w:val="0"/>
        </w:rPr>
        <w:t>Source record: Unified Bug Dataset 1.2, DOI 10.5281/zenodo.3693686. Selected entries are under PROMISE/orig/defect/ck in the archive. Original PROMISE measurements are retained; no new CK extraction is claimed. The exact five member paths and their complete SHA256 values are in data/manifest.json.</w:t>
      </w:r>
    </w:p>
    <w:tbl>
      <w:tblPr>
        <w:tblW w:type="auto" w:w="0"/>
        <w:jc w:val="center"/>
        <w:tblLayout w:type="fixed"/>
        <w:tblLook w:firstColumn="1" w:firstRow="1" w:lastColumn="0" w:lastRow="0" w:noHBand="0" w:noVBand="1" w:val="04A0"/>
      </w:tblPr>
      <w:tblGrid>
        <w:gridCol w:w="2324"/>
        <w:gridCol w:w="7200"/>
      </w:tblGrid>
      <w:tr>
        <w:trPr>
          <w:tblHeade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Predictor field</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jc w:val="center"/>
            </w:pPr>
            <w:r>
              <w:rPr>
                <w:b/>
                <w:sz w:val="21"/>
              </w:rPr>
              <w:t>Meaning</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wmc</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Method count under the source convention of unit method weights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dit</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Depth of inheritance tree</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noc</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Number of immediate child classes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cbo</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Coupling between object classes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rfc</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Response for a class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lcom</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Lack of cohesion in methods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ca and ce</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Afferent and efferent class couplings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npm</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Number of public methods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lcom3</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Henderson-Sellers cohesion measure</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loc</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Lines of code under the dataset convention</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dam</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Data access metric</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moa</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Measure of aggregation</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mfa</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Measure of functional abstraction</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cam</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Cohesion among methods of a class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ic and cbm</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Inheritance coupling and coupling between methods</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amc</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Average method size under the original source convention</w:t>
            </w:r>
          </w:p>
        </w:tc>
      </w:tr>
      <w:tr>
        <w:trPr>
          <w:cantSplit/>
        </w:trPr>
        <w:tc>
          <w:tcPr>
            <w:tcW w:type="dxa" w:w="23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max_cc and avg_cc</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Maximum and average method cyclomatic complexity</w:t>
            </w:r>
          </w:p>
        </w:tc>
      </w:tr>
    </w:tbl>
    <w:p>
      <w:pPr>
        <w:spacing w:after="40"/>
      </w:pPr>
      <w:r>
        <w:rPr>
          <w:b w:val="0"/>
          <w:sz w:val="4"/>
        </w:rPr>
      </w:r>
    </w:p>
    <w:p>
      <w:r>
        <w:rPr>
          <w:b w:val="0"/>
          <w:sz w:val="22"/>
        </w:rPr>
        <w:t>The grouped dictionary entries expand to exactly 20 predictor columns. name and version are metadata; the second name header becomes name.1 when parsed and contains the class identifier. bug is the published count and is used only to construct the outcome. Processed class_id is a truncated SHA256 of project plus class name; split records the assigned role. Ratios and cohesion values are preserved under their source definitions and are not arbitrarily capped at one.</w:t>
      </w:r>
    </w:p>
    <w:p>
      <w:r>
        <w:br w:type="page"/>
      </w:r>
    </w:p>
    <w:p>
      <w:pPr>
        <w:pStyle w:val="Heading1"/>
      </w:pPr>
      <w:r>
        <w:t>Appendix B Executed Outputs and Verification</w:t>
      </w:r>
    </w:p>
    <w:p>
      <w:r>
        <w:rPr>
          <w:b w:val="0"/>
        </w:rPr>
        <w:t>The following excerpts come from outputs/run.log. The complete machine-readable evidence is included in the accompanying practical package.</w:t>
      </w:r>
    </w:p>
    <w:p>
      <w:pPr>
        <w:spacing w:after="20" w:line="240" w:lineRule="auto"/>
      </w:pPr>
      <w:r>
        <w:rPr>
          <w:rFonts w:ascii="Consolas" w:hAnsi="Consolas"/>
          <w:b w:val="0"/>
          <w:sz w:val="18"/>
        </w:rPr>
        <w:t>train: n=1679, positive=458</w:t>
      </w:r>
    </w:p>
    <w:p>
      <w:pPr>
        <w:spacing w:after="20" w:line="240" w:lineRule="auto"/>
      </w:pPr>
      <w:r>
        <w:rPr>
          <w:rFonts w:ascii="Consolas" w:hAnsi="Consolas"/>
          <w:b w:val="0"/>
          <w:sz w:val="18"/>
        </w:rPr>
        <w:t>validation: n=341, positive=39</w:t>
      </w:r>
    </w:p>
    <w:p>
      <w:pPr>
        <w:spacing w:after="20" w:line="240" w:lineRule="auto"/>
      </w:pPr>
      <w:r>
        <w:rPr>
          <w:rFonts w:ascii="Consolas" w:hAnsi="Consolas"/>
          <w:b w:val="0"/>
          <w:sz w:val="18"/>
        </w:rPr>
        <w:t>test: n=934, positive=187</w:t>
      </w:r>
    </w:p>
    <w:p>
      <w:pPr>
        <w:spacing w:after="20" w:line="240" w:lineRule="auto"/>
      </w:pPr>
      <w:r>
        <w:rPr>
          <w:rFonts w:ascii="Consolas" w:hAnsi="Consolas"/>
          <w:b w:val="0"/>
          <w:sz w:val="18"/>
        </w:rPr>
        <w:t>Selected by validation average precision: XGB_all20</w:t>
      </w:r>
    </w:p>
    <w:p>
      <w:pPr>
        <w:spacing w:after="20" w:line="240" w:lineRule="auto"/>
      </w:pPr>
      <w:r>
        <w:rPr>
          <w:rFonts w:ascii="Consolas" w:hAnsi="Consolas"/>
          <w:b w:val="0"/>
          <w:sz w:val="18"/>
        </w:rPr>
        <w:t>XGB_all20 test AP=0.258197 F1=0.301587 FN=130</w:t>
      </w:r>
    </w:p>
    <w:p>
      <w:pPr>
        <w:pStyle w:val="Heading2"/>
      </w:pPr>
      <w:r>
        <w:t>Verification Results</w:t>
      </w:r>
    </w:p>
    <w:p>
      <w:r>
        <w:rPr>
          <w:b w:val="0"/>
          <w:sz w:val="21"/>
        </w:rPr>
        <w:t>Passed  train/validation: disjoint projects, class IDs and exact feature vectors</w:t>
      </w:r>
    </w:p>
    <w:p>
      <w:r>
        <w:rPr>
          <w:b w:val="0"/>
          <w:sz w:val="21"/>
        </w:rPr>
        <w:t>Passed  train/test: disjoint projects, class IDs and exact feature vectors</w:t>
      </w:r>
    </w:p>
    <w:p>
      <w:r>
        <w:rPr>
          <w:b w:val="0"/>
          <w:sz w:val="21"/>
        </w:rPr>
        <w:t>Passed  validation/test: disjoint projects, class IDs and exact feature vectors</w:t>
      </w:r>
    </w:p>
    <w:p>
      <w:r>
        <w:rPr>
          <w:b w:val="0"/>
          <w:sz w:val="21"/>
        </w:rPr>
        <w:t>Passed  all raw CSV SHA256 checks and ZIP CRC verification at download</w:t>
      </w:r>
    </w:p>
    <w:p>
      <w:r>
        <w:rPr>
          <w:b w:val="0"/>
          <w:sz w:val="21"/>
        </w:rPr>
        <w:t>Passed  fitted imputation medians equal training medians for all seven configurations</w:t>
      </w:r>
    </w:p>
    <w:p>
      <w:r>
        <w:rPr>
          <w:b w:val="0"/>
          <w:sz w:val="21"/>
        </w:rPr>
        <w:t>Passed  LR scaling means equal training-only imputed means</w:t>
      </w:r>
    </w:p>
    <w:p>
      <w:r>
        <w:rPr>
          <w:b w:val="0"/>
          <w:sz w:val="21"/>
        </w:rPr>
        <w:t>Passed  test metrics recomputed from saved prediction records and confusion-matrix totals</w:t>
      </w:r>
    </w:p>
    <w:p>
      <w:r>
        <w:rPr>
          <w:b w:val="0"/>
          <w:sz w:val="22"/>
        </w:rPr>
        <w:t>Seven checks passed. They verify input integrity, partition separation and evaluation consistency. They do not establish that published defect labels are correct, detect all code clones or validate generalisation beyond the sample.</w:t>
      </w:r>
    </w:p>
    <w:p>
      <w:pPr>
        <w:pStyle w:val="Heading2"/>
      </w:pPr>
      <w:r>
        <w:t>Examples from the Selected Model</w:t>
      </w:r>
    </w:p>
    <w:tbl>
      <w:tblPr>
        <w:tblW w:type="auto" w:w="0"/>
        <w:jc w:val="center"/>
        <w:tblLayout w:type="fixed"/>
        <w:tblLook w:firstColumn="1" w:firstRow="1" w:lastColumn="0" w:lastRow="0" w:noHBand="0" w:noVBand="1" w:val="04A0"/>
      </w:tblPr>
      <w:tblGrid>
        <w:gridCol w:w="2948"/>
        <w:gridCol w:w="1020"/>
        <w:gridCol w:w="1417"/>
        <w:gridCol w:w="1644"/>
        <w:gridCol w:w="1247"/>
        <w:gridCol w:w="1247"/>
      </w:tblGrid>
      <w:tr>
        <w:trPr>
          <w:tblHeade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0"/>
              </w:rPr>
              <w:t>Class ID</w:t>
            </w:r>
          </w:p>
        </w:tc>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jc w:val="center"/>
            </w:pPr>
            <w:r>
              <w:rPr>
                <w:b/>
                <w:sz w:val="20"/>
              </w:rPr>
              <w:t>Actual</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jc w:val="center"/>
            </w:pPr>
            <w:r>
              <w:rPr>
                <w:b/>
                <w:sz w:val="20"/>
              </w:rPr>
              <w:t>Predicted</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jc w:val="center"/>
            </w:pPr>
            <w:r>
              <w:rPr>
                <w:b/>
                <w:sz w:val="20"/>
              </w:rPr>
              <w:t>Probability</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jc w:val="center"/>
            </w:pPr>
            <w:r>
              <w:rPr>
                <w:b/>
                <w:sz w:val="20"/>
              </w:rPr>
              <w:t>LOC</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jc w:val="center"/>
            </w:pPr>
            <w:r>
              <w:rPr>
                <w:b/>
                <w:sz w:val="20"/>
              </w:rPr>
              <w:t>RFC</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0"/>
              </w:rPr>
              <w:t>298ebeab2fdb763bb037</w:t>
            </w:r>
          </w:p>
        </w:tc>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1</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0</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0.3089</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165</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22</w:t>
            </w:r>
          </w:p>
        </w:tc>
      </w:tr>
      <w:tr>
        <w:trPr>
          <w:cantSplit/>
        </w:trPr>
        <w:tc>
          <w:tcPr>
            <w:tcW w:type="dxa" w:w="29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0"/>
              </w:rPr>
              <w:t>3461f002a36374550944</w:t>
            </w:r>
          </w:p>
        </w:tc>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0</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1</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0.8697</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433</w:t>
            </w:r>
          </w:p>
        </w:tc>
        <w:tc>
          <w:tcPr>
            <w:tcW w:type="dxa" w:w="124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sz w:val="20"/>
              </w:rPr>
              <w:t>95</w:t>
            </w:r>
          </w:p>
        </w:tc>
      </w:tr>
    </w:tbl>
    <w:p>
      <w:pPr>
        <w:spacing w:after="40"/>
      </w:pPr>
      <w:r>
        <w:rPr>
          <w:b w:val="0"/>
          <w:sz w:val="4"/>
        </w:rPr>
      </w:r>
    </w:p>
    <w:p>
      <w:r>
        <w:rPr>
          <w:b w:val="0"/>
          <w:sz w:val="22"/>
        </w:rPr>
        <w:t>Both examples are Camel classes; 1 denotes at least one recorded defect. These are traceable prediction errors from selected_model_errors.csv, not explanations of why a defect occurred. The full error file permits inspection without publishing developer information.</w:t>
      </w:r>
    </w:p>
    <w:p>
      <w:pPr>
        <w:pStyle w:val="Heading2"/>
      </w:pPr>
      <w:r>
        <w:t>Evidence Files</w:t>
      </w:r>
    </w:p>
    <w:p>
      <w:r>
        <w:rPr>
          <w:b w:val="0"/>
          <w:sz w:val="22"/>
        </w:rPr>
        <w:t>dataset_summary.csv records source counts and cleaning. processed_dataset.csv stores the retained technical features and labels. split_manifest.csv records IDs and roles. metrics.csv and test_predictions.csv preserve scores and individual predictions. validation_permutation_importance.csv stores all 20 importance values. configurations.json, environment.json, audit.json and checks.txt record the configuration and execution checks.</w:t>
      </w:r>
    </w:p>
    <w:p>
      <w:r>
        <w:br w:type="page"/>
      </w:r>
    </w:p>
    <w:p>
      <w:pPr>
        <w:pStyle w:val="Heading1"/>
      </w:pPr>
      <w:r>
        <w:t>Appendix C Pilot Configuration and Reproduction</w:t>
      </w:r>
    </w:p>
    <w:tbl>
      <w:tblPr>
        <w:tblW w:type="auto" w:w="0"/>
        <w:jc w:val="center"/>
        <w:tblLayout w:type="fixed"/>
        <w:tblLook w:firstColumn="1" w:firstRow="1" w:lastColumn="0" w:lastRow="0" w:noHBand="0" w:noVBand="1" w:val="04A0"/>
      </w:tblPr>
      <w:tblGrid>
        <w:gridCol w:w="2438"/>
        <w:gridCol w:w="7087"/>
      </w:tblGrid>
      <w:tr>
        <w:trPr>
          <w:tblHeade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Component</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6E6"/>
          </w:tcPr>
          <w:p>
            <w:pPr>
              <w:spacing w:after="40" w:before="40" w:line="252" w:lineRule="auto"/>
            </w:pPr>
            <w:r>
              <w:rPr>
                <w:b/>
                <w:sz w:val="21"/>
              </w:rPr>
              <w:t>Executed configuration</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Dummy</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Prior-probability classifier; constant training prevalence.</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Logistic Regression</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C=1; lbfgs; max_iter=2000; class_weight=balanced; median imputation and StandardScaler.</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Random Forest</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200 trees; unlimited depth; min_samples_leaf=2; max_features=sqrt; class_weight=balanced.</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XGBoost</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200 trees; depth=3; learning_rate=0.05; subsample=1; colsample_bytree=1; hist; logloss; scale_pos_weight=2.6659388646.</w:t>
            </w:r>
          </w:p>
        </w:tc>
      </w:tr>
      <w:tr>
        <w:trPr>
          <w:cantSplit/>
        </w:trPr>
        <w:tc>
          <w:tcPr>
            <w:tcW w:type="dxa" w:w="243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Shared settings</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2" w:lineRule="auto"/>
            </w:pPr>
            <w:r>
              <w:rPr>
                <w:b w:val="0"/>
                <w:sz w:val="21"/>
              </w:rPr>
              <w:t>Seed 42; threshold 0.5; n_jobs=1 for RF and XGBoost; median imputation; all20 or CK6; no pilot tuning.</w:t>
            </w:r>
          </w:p>
        </w:tc>
      </w:tr>
    </w:tbl>
    <w:p>
      <w:pPr>
        <w:spacing w:after="40"/>
      </w:pPr>
      <w:r>
        <w:rPr>
          <w:b w:val="0"/>
          <w:sz w:val="4"/>
        </w:rPr>
      </w:r>
    </w:p>
    <w:p>
      <w:r>
        <w:rPr>
          <w:b w:val="0"/>
          <w:sz w:val="22"/>
        </w:rPr>
        <w:t>Environment: Python 3.12.14; NumPy 2.5.4; pandas 3.0.1; SciPy 1.16.2; scikit-learn 1.7.2; XGBoost 3.1.1. Windows 11 on an AMD64 CPU; no GPU used. Complete package pins are in requirements.txt. The script hash and acquisition hashes are recorded in audit.json and manifest.json.</w:t>
      </w:r>
    </w:p>
    <w:p>
      <w:pPr>
        <w:pStyle w:val="Heading2"/>
      </w:pPr>
      <w:r>
        <w:t>Reproduction Commands</w:t>
      </w:r>
    </w:p>
    <w:p>
      <w:r>
        <w:rPr>
          <w:b w:val="0"/>
          <w:sz w:val="22"/>
        </w:rPr>
        <w:t>Open a terminal in the extracted Assignment3_Practical directory. With Python 3.12 installed, create an isolated environment, install the pinned dependencies, and run the pipeline. The original five CSV files are supplied, so re-downloading is optional.</w:t>
      </w:r>
    </w:p>
    <w:p>
      <w:pPr>
        <w:spacing w:after="20" w:line="240" w:lineRule="auto"/>
      </w:pPr>
      <w:r>
        <w:rPr>
          <w:rFonts w:ascii="Consolas" w:hAnsi="Consolas"/>
          <w:b w:val="0"/>
          <w:sz w:val="18"/>
        </w:rPr>
        <w:t>py -3.12 -m venv .venv</w:t>
      </w:r>
    </w:p>
    <w:p>
      <w:pPr>
        <w:spacing w:after="20" w:line="240" w:lineRule="auto"/>
      </w:pPr>
      <w:r>
        <w:rPr>
          <w:rFonts w:ascii="Consolas" w:hAnsi="Consolas"/>
          <w:b w:val="0"/>
          <w:sz w:val="18"/>
        </w:rPr>
        <w:t>.\.venv\Scripts\python.exe -m pip install -r requirements.txt</w:t>
      </w:r>
    </w:p>
    <w:p>
      <w:pPr>
        <w:spacing w:after="20" w:line="240" w:lineRule="auto"/>
      </w:pPr>
      <w:r>
        <w:rPr>
          <w:rFonts w:ascii="Consolas" w:hAnsi="Consolas"/>
          <w:b w:val="0"/>
          <w:sz w:val="18"/>
        </w:rPr>
        <w:t>.\.venv\Scripts\python.exe run_pipeline.py</w:t>
      </w:r>
    </w:p>
    <w:p>
      <w:pPr>
        <w:spacing w:after="20" w:line="240" w:lineRule="auto"/>
      </w:pPr>
      <w:r>
        <w:rPr>
          <w:rFonts w:ascii="Consolas" w:hAnsi="Consolas"/>
          <w:b w:val="0"/>
          <w:sz w:val="18"/>
        </w:rPr>
        <w:t># Optional independent acquisition</w:t>
      </w:r>
    </w:p>
    <w:p>
      <w:pPr>
        <w:spacing w:after="20" w:line="240" w:lineRule="auto"/>
      </w:pPr>
      <w:r>
        <w:rPr>
          <w:rFonts w:ascii="Consolas" w:hAnsi="Consolas"/>
          <w:b w:val="0"/>
          <w:sz w:val="18"/>
        </w:rPr>
        <w:t>.\.venv\Scripts\python.exe fetch_data.py</w:t>
      </w:r>
    </w:p>
    <w:p>
      <w:r>
        <w:rPr>
          <w:b w:val="0"/>
          <w:sz w:val="22"/>
        </w:rPr>
        <w:t>For a repeat without overwriting the supplied outputs, use run_pipeline.py --output outputs_repeat. run_pipeline.py validates the five data hashes before fitting. Compare metrics.csv and the saved predictions; small platform-dependent numerical differences should be investigated rather than silently changed. Fetching uses HTTP byte ranges and depends on Zenodo supporting that operation.</w:t>
      </w:r>
    </w:p>
    <w:p>
      <w:pPr>
        <w:pStyle w:val="Heading2"/>
      </w:pPr>
      <w:r>
        <w:t>Planned Benchmark Status</w:t>
      </w:r>
    </w:p>
    <w:p>
      <w:r>
        <w:rPr>
          <w:b w:val="0"/>
          <w:sz w:val="22"/>
        </w:rPr>
        <w:t>The supplied program implements the fixed pilot only. Nested leave-one-project-out selection, seed repetition, overlap sensitivity analysis and independent external confirmation are specified in the methodology and are not presented as completed experiments. These steps remain for the article's full evaluation.</w:t>
      </w:r>
    </w:p>
    <w:p>
      <w:r>
        <w:br w:type="page"/>
      </w:r>
    </w:p>
    <w:p>
      <w:pPr>
        <w:pStyle w:val="Heading1"/>
      </w:pPr>
      <w:r>
        <w:t>Appendix D Attribution and Research Integrity</w:t>
      </w:r>
    </w:p>
    <w:p>
      <w:r>
        <w:rPr>
          <w:b w:val="0"/>
        </w:rPr>
        <w:t>Data attribution: Rudolf Ferenc, Zoltán Tóth, Gergely Ladányi, István Siket and Tibor Gyimóthy, Unified Bug Dataset 1.2 (2020), https://doi.org/10.5281/zenodo.3693686. The Zenodo metadata records CC BY 4.0. Original upstream README and the record metadata accompany the CSV files. The package extracts five original PROMISE tables, creates hashed technical identifiers, removes specified overlaps and derives binary labels. No Java source code is redistributed.</w:t>
      </w:r>
    </w:p>
    <w:p>
      <w:r>
        <w:rPr>
          <w:b w:val="0"/>
        </w:rPr>
        <w:t>Methodological attribution: original product metric definitions follow Jureczko and Madeyski [3]. Implementation and scoring follow the versioned library documentation [4–10]. Public access does not replace attribution; the dataset and tool sources must remain with shared research artifacts.</w:t>
      </w:r>
    </w:p>
    <w:p>
      <w:pPr>
        <w:pStyle w:val="Heading2"/>
      </w:pPr>
      <w:r>
        <w:t>Initial Implementation Boundaries</w:t>
      </w:r>
    </w:p>
    <w:p>
      <w:r>
        <w:rPr>
          <w:b w:val="0"/>
        </w:rPr>
        <w:t>The execution confirms that data can be retrieved, transformed, modelled and scored under the stated protocol. It does not verify the upstream bug-to-class mapping, prove causal effects of metrics, establish deployment readiness or identify a universally superior classifier. Test inspection makes this pilot exploratory. Any further model development must keep new confirmation data separate from development.</w:t>
      </w:r>
    </w:p>
    <w:sectPr w:rsidR="00FC693F" w:rsidRPr="0006063C" w:rsidSect="00034616">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Defect Prone Java Classes Using Static Code Metrics and Machine Learning</dc:title>
  <dc:subject>Assignment 3 Research Methods and Tools</dc:subject>
  <dc:creator>Kabysheva Zukhra; Nurbek Medina; Maksatova Akniyet; Nauryzbay Tomiris</dc:creator>
  <cp:keywords/>
  <dc:description>generated by python-docx</dc:description>
  <cp:lastModifiedBy/>
  <cp:revision>1</cp:revision>
  <dcterms:created xsi:type="dcterms:W3CDTF">2013-12-23T23:15:00Z</dcterms:created>
  <dcterms:modified xsi:type="dcterms:W3CDTF">2013-12-23T23:15:00Z</dcterms:modified>
  <cp:category/>
</cp:coreProperties>
</file>