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Marginal health impacts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table below provides emissions estimates for the 10-country region of Southern Africa along with marginal health impacts for each species.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these data to estimate the number of premature mortalities caused by these emissions.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Emissions (tonnes/yr)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Marginal health impact (mortalities/tonne)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Primary PM2.5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9.6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7.2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SO2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3.3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4.8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NOx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2.4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3.1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NH3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8.5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2.1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Anthropogenic VOCs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3.1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4.5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1: “Global Air Pollutant Emissions EDGAR v6.1.”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https://edgar.jrc.ec.europa.eu/index.php/dataset_ap61</w:t>
        </w:r>
      </w:hyperlink>
      <w:r w:rsidDel="00000000" w:rsidR="00000000" w:rsidRPr="00000000">
        <w:rPr>
          <w:rtl w:val="0"/>
        </w:rPr>
        <w:t xml:space="preserve">. Does not include biomass burning emissions.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2: Preliminary results from the REACH-SAfrica model. Note that marginal impacts are a strong function of where the emissions occur. Here, for simplicity, we provide emissions-weighted regional-average values.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A2F3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A2F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gar.jrc.ec.europa.eu/index.php/dataset_ap61" TargetMode="External"/><Relationship Id="rId8" Type="http://schemas.openxmlformats.org/officeDocument/2006/relationships/hyperlink" Target="https://edgar.jrc.ec.europa.eu/index.php/dataset_ap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pAkb8sb922hYModxqUd2RQuo3A==">AMUW2mWIOVfD8TEAAXdTuu6z0LvjYXCqLQ3FGqCRbZSSkjovUcdrnIbWQmz6gd1GfuyE8/c6d35KgKwxOiVgIkKYlLHi+5Lbr+T06fJF6wBx/4amIOMpCYLZvYFABXlxJ3sXTv0gJOac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2022-09-14T14:44:00Z</dcterms:created>
  <dc:creator>Peter J Adams</dc:creator>
</cp:coreProperties>
</file>