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20" w:rsidRPr="008562B7" w:rsidRDefault="008562B7">
      <w:pPr>
        <w:rPr>
          <w:b/>
        </w:rPr>
      </w:pPr>
      <w:r w:rsidRPr="008562B7">
        <w:rPr>
          <w:b/>
        </w:rPr>
        <w:t>Basic source-receptor example</w:t>
      </w:r>
    </w:p>
    <w:p w:rsidR="008562B7" w:rsidRDefault="008562B7">
      <w:r>
        <w:t>To illustrate the idea of using source-receptor matrices, consider a highly simplified example:</w:t>
      </w:r>
    </w:p>
    <w:p w:rsidR="008562B7" w:rsidRDefault="008562B7" w:rsidP="008562B7">
      <w:pPr>
        <w:pStyle w:val="ListParagraph"/>
        <w:numPr>
          <w:ilvl w:val="0"/>
          <w:numId w:val="1"/>
        </w:numPr>
      </w:pPr>
      <w:r>
        <w:t>A fictional country called “</w:t>
      </w:r>
      <w:proofErr w:type="spellStart"/>
      <w:r>
        <w:t>PMLandia</w:t>
      </w:r>
      <w:proofErr w:type="spellEnd"/>
      <w:r>
        <w:t>” that consists of two regions, east and west</w:t>
      </w:r>
      <w:r w:rsidRPr="008562B7">
        <w:rPr>
          <w:vertAlign w:val="superscript"/>
        </w:rPr>
        <w:t>1</w:t>
      </w:r>
      <w:r>
        <w:t>.</w:t>
      </w:r>
    </w:p>
    <w:p w:rsidR="00904662" w:rsidRDefault="008562B7" w:rsidP="008562B7">
      <w:pPr>
        <w:pStyle w:val="ListParagraph"/>
        <w:numPr>
          <w:ilvl w:val="0"/>
          <w:numId w:val="1"/>
        </w:numPr>
      </w:pPr>
      <w:r>
        <w:t>PM pollution contributed by only two kinds of emissions: primary PM and SO2</w:t>
      </w:r>
      <w:r w:rsidRPr="008562B7">
        <w:rPr>
          <w:vertAlign w:val="superscript"/>
        </w:rPr>
        <w:t>2</w:t>
      </w:r>
      <w:r>
        <w:t>.</w:t>
      </w:r>
    </w:p>
    <w:p w:rsidR="008562B7" w:rsidRDefault="008562B7" w:rsidP="008562B7">
      <w:r>
        <w:t>The emissions inve</w:t>
      </w:r>
      <w:r w:rsidR="00904662">
        <w:t xml:space="preserve">ntory for </w:t>
      </w:r>
      <w:proofErr w:type="spellStart"/>
      <w:r w:rsidR="00904662">
        <w:t>PMLandia</w:t>
      </w:r>
      <w:proofErr w:type="spellEnd"/>
      <w:r w:rsidR="00904662">
        <w:t>, broken down by region and species is:</w:t>
      </w:r>
    </w:p>
    <w:tbl>
      <w:tblPr>
        <w:tblStyle w:val="TableGrid"/>
        <w:tblW w:w="0" w:type="auto"/>
        <w:tblLook w:val="04A0" w:firstRow="1" w:lastRow="0" w:firstColumn="1" w:lastColumn="0" w:noHBand="0" w:noVBand="1"/>
      </w:tblPr>
      <w:tblGrid>
        <w:gridCol w:w="2620"/>
        <w:gridCol w:w="1200"/>
        <w:gridCol w:w="1360"/>
      </w:tblGrid>
      <w:tr w:rsidR="00904662" w:rsidRPr="00904662" w:rsidTr="00904662">
        <w:trPr>
          <w:trHeight w:val="288"/>
        </w:trPr>
        <w:tc>
          <w:tcPr>
            <w:tcW w:w="2620" w:type="dxa"/>
            <w:noWrap/>
            <w:hideMark/>
          </w:tcPr>
          <w:p w:rsidR="00904662" w:rsidRPr="00904662" w:rsidRDefault="00904662">
            <w:r w:rsidRPr="00904662">
              <w:t>Emissions (</w:t>
            </w:r>
            <w:proofErr w:type="spellStart"/>
            <w:r w:rsidRPr="00904662">
              <w:t>tonnes</w:t>
            </w:r>
            <w:proofErr w:type="spellEnd"/>
            <w:r w:rsidRPr="00904662">
              <w:t>/</w:t>
            </w:r>
            <w:proofErr w:type="spellStart"/>
            <w:r w:rsidRPr="00904662">
              <w:t>yr</w:t>
            </w:r>
            <w:proofErr w:type="spellEnd"/>
            <w:r w:rsidRPr="00904662">
              <w:t>)</w:t>
            </w:r>
          </w:p>
        </w:tc>
        <w:tc>
          <w:tcPr>
            <w:tcW w:w="1200" w:type="dxa"/>
            <w:noWrap/>
            <w:hideMark/>
          </w:tcPr>
          <w:p w:rsidR="00904662" w:rsidRPr="00904662" w:rsidRDefault="00904662">
            <w:r w:rsidRPr="00904662">
              <w:t>PM</w:t>
            </w:r>
          </w:p>
        </w:tc>
        <w:tc>
          <w:tcPr>
            <w:tcW w:w="1360" w:type="dxa"/>
            <w:noWrap/>
            <w:hideMark/>
          </w:tcPr>
          <w:p w:rsidR="00904662" w:rsidRPr="00904662" w:rsidRDefault="00904662">
            <w:r w:rsidRPr="00904662">
              <w:t>SO2</w:t>
            </w:r>
          </w:p>
        </w:tc>
      </w:tr>
      <w:tr w:rsidR="00904662" w:rsidRPr="00904662" w:rsidTr="00904662">
        <w:trPr>
          <w:trHeight w:val="288"/>
        </w:trPr>
        <w:tc>
          <w:tcPr>
            <w:tcW w:w="2620" w:type="dxa"/>
            <w:noWrap/>
            <w:hideMark/>
          </w:tcPr>
          <w:p w:rsidR="00904662" w:rsidRPr="00904662" w:rsidRDefault="00904662">
            <w:r w:rsidRPr="00904662">
              <w:t>East</w:t>
            </w:r>
          </w:p>
        </w:tc>
        <w:tc>
          <w:tcPr>
            <w:tcW w:w="1200" w:type="dxa"/>
            <w:noWrap/>
            <w:hideMark/>
          </w:tcPr>
          <w:p w:rsidR="00904662" w:rsidRPr="00904662" w:rsidRDefault="00904662">
            <w:r w:rsidRPr="00904662">
              <w:t xml:space="preserve">       780,000 </w:t>
            </w:r>
          </w:p>
        </w:tc>
        <w:tc>
          <w:tcPr>
            <w:tcW w:w="1360" w:type="dxa"/>
            <w:noWrap/>
            <w:hideMark/>
          </w:tcPr>
          <w:p w:rsidR="00904662" w:rsidRPr="00904662" w:rsidRDefault="00904662">
            <w:r w:rsidRPr="00904662">
              <w:t xml:space="preserve">       1,620,000 </w:t>
            </w:r>
          </w:p>
        </w:tc>
      </w:tr>
      <w:tr w:rsidR="00904662" w:rsidRPr="00904662" w:rsidTr="00904662">
        <w:trPr>
          <w:trHeight w:val="288"/>
        </w:trPr>
        <w:tc>
          <w:tcPr>
            <w:tcW w:w="2620" w:type="dxa"/>
            <w:noWrap/>
            <w:hideMark/>
          </w:tcPr>
          <w:p w:rsidR="00904662" w:rsidRPr="00904662" w:rsidRDefault="00904662">
            <w:r w:rsidRPr="00904662">
              <w:t>West</w:t>
            </w:r>
          </w:p>
        </w:tc>
        <w:tc>
          <w:tcPr>
            <w:tcW w:w="1200" w:type="dxa"/>
            <w:noWrap/>
            <w:hideMark/>
          </w:tcPr>
          <w:p w:rsidR="00904662" w:rsidRPr="00904662" w:rsidRDefault="00904662">
            <w:r w:rsidRPr="00904662">
              <w:t xml:space="preserve">       520,000 </w:t>
            </w:r>
          </w:p>
        </w:tc>
        <w:tc>
          <w:tcPr>
            <w:tcW w:w="1360" w:type="dxa"/>
            <w:noWrap/>
            <w:hideMark/>
          </w:tcPr>
          <w:p w:rsidR="00904662" w:rsidRPr="00904662" w:rsidRDefault="00904662">
            <w:r w:rsidRPr="00904662">
              <w:t xml:space="preserve">           180,000 </w:t>
            </w:r>
          </w:p>
        </w:tc>
      </w:tr>
    </w:tbl>
    <w:p w:rsidR="00904662" w:rsidRDefault="00904662" w:rsidP="008562B7"/>
    <w:p w:rsidR="00904662" w:rsidRDefault="003D0FE1" w:rsidP="008562B7">
      <w:r>
        <w:t>The source-receptor matrices</w:t>
      </w:r>
      <w:r w:rsidR="00D42552" w:rsidRPr="00D42552">
        <w:rPr>
          <w:vertAlign w:val="superscript"/>
        </w:rPr>
        <w:t>3</w:t>
      </w:r>
      <w:r>
        <w:t xml:space="preserve"> for primary PM and SO2 emissions are as follows (all values are </w:t>
      </w:r>
      <w:r w:rsidRPr="003D0FE1">
        <w:rPr>
          <w:rFonts w:ascii="Symbol" w:hAnsi="Symbol"/>
        </w:rPr>
        <w:t></w:t>
      </w:r>
      <w:r>
        <w:t>g/m</w:t>
      </w:r>
      <w:r w:rsidRPr="003D0FE1">
        <w:rPr>
          <w:vertAlign w:val="superscript"/>
        </w:rPr>
        <w:t>3</w:t>
      </w:r>
      <w:r>
        <w:t xml:space="preserve"> per </w:t>
      </w:r>
      <w:proofErr w:type="spellStart"/>
      <w:r>
        <w:t>tonnes</w:t>
      </w:r>
      <w:proofErr w:type="spellEnd"/>
      <w:r>
        <w:t>/</w:t>
      </w:r>
      <w:proofErr w:type="spellStart"/>
      <w:r>
        <w:t>yr</w:t>
      </w:r>
      <w:proofErr w:type="spellEnd"/>
      <w:r>
        <w:t>):</w:t>
      </w:r>
    </w:p>
    <w:tbl>
      <w:tblPr>
        <w:tblStyle w:val="TableGrid"/>
        <w:tblW w:w="0" w:type="auto"/>
        <w:tblLook w:val="04A0" w:firstRow="1" w:lastRow="0" w:firstColumn="1" w:lastColumn="0" w:noHBand="0" w:noVBand="1"/>
      </w:tblPr>
      <w:tblGrid>
        <w:gridCol w:w="2620"/>
        <w:gridCol w:w="1200"/>
        <w:gridCol w:w="1360"/>
      </w:tblGrid>
      <w:tr w:rsidR="003D0FE1" w:rsidRPr="003D0FE1" w:rsidTr="003D0FE1">
        <w:trPr>
          <w:trHeight w:val="288"/>
        </w:trPr>
        <w:tc>
          <w:tcPr>
            <w:tcW w:w="2620" w:type="dxa"/>
            <w:noWrap/>
            <w:hideMark/>
          </w:tcPr>
          <w:p w:rsidR="003D0FE1" w:rsidRPr="003D0FE1" w:rsidRDefault="003D0FE1">
            <w:r w:rsidRPr="003D0FE1">
              <w:t>S-R matrix Primary PM</w:t>
            </w:r>
          </w:p>
        </w:tc>
        <w:tc>
          <w:tcPr>
            <w:tcW w:w="1200" w:type="dxa"/>
            <w:noWrap/>
            <w:hideMark/>
          </w:tcPr>
          <w:p w:rsidR="003D0FE1" w:rsidRPr="003D0FE1" w:rsidRDefault="003D0FE1">
            <w:r w:rsidRPr="003D0FE1">
              <w:t>E</w:t>
            </w:r>
          </w:p>
        </w:tc>
        <w:tc>
          <w:tcPr>
            <w:tcW w:w="1360" w:type="dxa"/>
            <w:noWrap/>
            <w:hideMark/>
          </w:tcPr>
          <w:p w:rsidR="003D0FE1" w:rsidRPr="003D0FE1" w:rsidRDefault="003D0FE1">
            <w:r w:rsidRPr="003D0FE1">
              <w:t>W</w:t>
            </w:r>
          </w:p>
        </w:tc>
      </w:tr>
      <w:tr w:rsidR="003D0FE1" w:rsidRPr="003D0FE1" w:rsidTr="003D0FE1">
        <w:trPr>
          <w:trHeight w:val="288"/>
        </w:trPr>
        <w:tc>
          <w:tcPr>
            <w:tcW w:w="2620" w:type="dxa"/>
            <w:noWrap/>
            <w:hideMark/>
          </w:tcPr>
          <w:p w:rsidR="003D0FE1" w:rsidRPr="003D0FE1" w:rsidRDefault="003D0FE1">
            <w:r w:rsidRPr="003D0FE1">
              <w:t>E</w:t>
            </w:r>
          </w:p>
        </w:tc>
        <w:tc>
          <w:tcPr>
            <w:tcW w:w="1200" w:type="dxa"/>
            <w:noWrap/>
            <w:hideMark/>
          </w:tcPr>
          <w:p w:rsidR="003D0FE1" w:rsidRPr="003D0FE1" w:rsidRDefault="003D0FE1" w:rsidP="003D0FE1">
            <w:r w:rsidRPr="003D0FE1">
              <w:t>4.00E-06</w:t>
            </w:r>
          </w:p>
        </w:tc>
        <w:tc>
          <w:tcPr>
            <w:tcW w:w="1360" w:type="dxa"/>
            <w:noWrap/>
            <w:hideMark/>
          </w:tcPr>
          <w:p w:rsidR="003D0FE1" w:rsidRPr="003D0FE1" w:rsidRDefault="003D0FE1" w:rsidP="003D0FE1">
            <w:r w:rsidRPr="003D0FE1">
              <w:t>1.00E-06</w:t>
            </w:r>
          </w:p>
        </w:tc>
      </w:tr>
      <w:tr w:rsidR="003D0FE1" w:rsidRPr="003D0FE1" w:rsidTr="003D0FE1">
        <w:trPr>
          <w:trHeight w:val="288"/>
        </w:trPr>
        <w:tc>
          <w:tcPr>
            <w:tcW w:w="2620" w:type="dxa"/>
            <w:noWrap/>
            <w:hideMark/>
          </w:tcPr>
          <w:p w:rsidR="003D0FE1" w:rsidRPr="003D0FE1" w:rsidRDefault="003D0FE1">
            <w:r w:rsidRPr="003D0FE1">
              <w:t>W</w:t>
            </w:r>
          </w:p>
        </w:tc>
        <w:tc>
          <w:tcPr>
            <w:tcW w:w="1200" w:type="dxa"/>
            <w:noWrap/>
            <w:hideMark/>
          </w:tcPr>
          <w:p w:rsidR="003D0FE1" w:rsidRPr="003D0FE1" w:rsidRDefault="003D0FE1" w:rsidP="003D0FE1">
            <w:r w:rsidRPr="003D0FE1">
              <w:t>2.00E-07</w:t>
            </w:r>
          </w:p>
        </w:tc>
        <w:tc>
          <w:tcPr>
            <w:tcW w:w="1360" w:type="dxa"/>
            <w:noWrap/>
            <w:hideMark/>
          </w:tcPr>
          <w:p w:rsidR="003D0FE1" w:rsidRPr="003D0FE1" w:rsidRDefault="003D0FE1" w:rsidP="003D0FE1">
            <w:r w:rsidRPr="003D0FE1">
              <w:t>3.00E-06</w:t>
            </w:r>
          </w:p>
        </w:tc>
      </w:tr>
    </w:tbl>
    <w:p w:rsidR="003D0FE1" w:rsidRDefault="003D0FE1" w:rsidP="008562B7"/>
    <w:tbl>
      <w:tblPr>
        <w:tblStyle w:val="TableGrid"/>
        <w:tblW w:w="0" w:type="auto"/>
        <w:tblLook w:val="04A0" w:firstRow="1" w:lastRow="0" w:firstColumn="1" w:lastColumn="0" w:noHBand="0" w:noVBand="1"/>
      </w:tblPr>
      <w:tblGrid>
        <w:gridCol w:w="2620"/>
        <w:gridCol w:w="1200"/>
        <w:gridCol w:w="1360"/>
      </w:tblGrid>
      <w:tr w:rsidR="003D0FE1" w:rsidRPr="003D0FE1" w:rsidTr="003D0FE1">
        <w:trPr>
          <w:trHeight w:val="288"/>
        </w:trPr>
        <w:tc>
          <w:tcPr>
            <w:tcW w:w="2620" w:type="dxa"/>
            <w:noWrap/>
            <w:hideMark/>
          </w:tcPr>
          <w:p w:rsidR="003D0FE1" w:rsidRPr="003D0FE1" w:rsidRDefault="003D0FE1">
            <w:r w:rsidRPr="003D0FE1">
              <w:t>S-R matrix SO2</w:t>
            </w:r>
          </w:p>
        </w:tc>
        <w:tc>
          <w:tcPr>
            <w:tcW w:w="1200" w:type="dxa"/>
            <w:noWrap/>
            <w:hideMark/>
          </w:tcPr>
          <w:p w:rsidR="003D0FE1" w:rsidRPr="003D0FE1" w:rsidRDefault="003D0FE1">
            <w:r w:rsidRPr="003D0FE1">
              <w:t>E</w:t>
            </w:r>
          </w:p>
        </w:tc>
        <w:tc>
          <w:tcPr>
            <w:tcW w:w="1360" w:type="dxa"/>
            <w:noWrap/>
            <w:hideMark/>
          </w:tcPr>
          <w:p w:rsidR="003D0FE1" w:rsidRPr="003D0FE1" w:rsidRDefault="003D0FE1">
            <w:r w:rsidRPr="003D0FE1">
              <w:t>W</w:t>
            </w:r>
          </w:p>
        </w:tc>
      </w:tr>
      <w:tr w:rsidR="003D0FE1" w:rsidRPr="003D0FE1" w:rsidTr="003D0FE1">
        <w:trPr>
          <w:trHeight w:val="288"/>
        </w:trPr>
        <w:tc>
          <w:tcPr>
            <w:tcW w:w="2620" w:type="dxa"/>
            <w:noWrap/>
            <w:hideMark/>
          </w:tcPr>
          <w:p w:rsidR="003D0FE1" w:rsidRPr="003D0FE1" w:rsidRDefault="003D0FE1">
            <w:r w:rsidRPr="003D0FE1">
              <w:t>E</w:t>
            </w:r>
          </w:p>
        </w:tc>
        <w:tc>
          <w:tcPr>
            <w:tcW w:w="1200" w:type="dxa"/>
            <w:noWrap/>
            <w:hideMark/>
          </w:tcPr>
          <w:p w:rsidR="003D0FE1" w:rsidRPr="003D0FE1" w:rsidRDefault="003D0FE1" w:rsidP="003D0FE1">
            <w:r w:rsidRPr="003D0FE1">
              <w:t>1.80E-06</w:t>
            </w:r>
          </w:p>
        </w:tc>
        <w:tc>
          <w:tcPr>
            <w:tcW w:w="1360" w:type="dxa"/>
            <w:noWrap/>
            <w:hideMark/>
          </w:tcPr>
          <w:p w:rsidR="003D0FE1" w:rsidRPr="003D0FE1" w:rsidRDefault="003D0FE1" w:rsidP="003D0FE1">
            <w:r w:rsidRPr="003D0FE1">
              <w:t>7.00E-07</w:t>
            </w:r>
          </w:p>
        </w:tc>
      </w:tr>
      <w:tr w:rsidR="003D0FE1" w:rsidRPr="003D0FE1" w:rsidTr="003D0FE1">
        <w:trPr>
          <w:trHeight w:val="288"/>
        </w:trPr>
        <w:tc>
          <w:tcPr>
            <w:tcW w:w="2620" w:type="dxa"/>
            <w:noWrap/>
            <w:hideMark/>
          </w:tcPr>
          <w:p w:rsidR="003D0FE1" w:rsidRPr="003D0FE1" w:rsidRDefault="003D0FE1">
            <w:r w:rsidRPr="003D0FE1">
              <w:t>W</w:t>
            </w:r>
          </w:p>
        </w:tc>
        <w:tc>
          <w:tcPr>
            <w:tcW w:w="1200" w:type="dxa"/>
            <w:noWrap/>
            <w:hideMark/>
          </w:tcPr>
          <w:p w:rsidR="003D0FE1" w:rsidRPr="003D0FE1" w:rsidRDefault="003D0FE1" w:rsidP="003D0FE1">
            <w:r w:rsidRPr="003D0FE1">
              <w:t>3.00E-07</w:t>
            </w:r>
          </w:p>
        </w:tc>
        <w:tc>
          <w:tcPr>
            <w:tcW w:w="1360" w:type="dxa"/>
            <w:noWrap/>
            <w:hideMark/>
          </w:tcPr>
          <w:p w:rsidR="003D0FE1" w:rsidRPr="003D0FE1" w:rsidRDefault="003D0FE1" w:rsidP="003D0FE1">
            <w:r w:rsidRPr="003D0FE1">
              <w:t>1.50E-06</w:t>
            </w:r>
          </w:p>
        </w:tc>
      </w:tr>
    </w:tbl>
    <w:p w:rsidR="003D0FE1" w:rsidRDefault="003D0FE1" w:rsidP="008562B7"/>
    <w:p w:rsidR="003D0FE1" w:rsidRDefault="003D0FE1" w:rsidP="003D0FE1">
      <w:pPr>
        <w:pStyle w:val="ListParagraph"/>
        <w:numPr>
          <w:ilvl w:val="0"/>
          <w:numId w:val="2"/>
        </w:numPr>
      </w:pPr>
      <w:r>
        <w:t xml:space="preserve">Compute the resulting primary PM concentrations for both East and West </w:t>
      </w:r>
      <w:proofErr w:type="spellStart"/>
      <w:r>
        <w:t>PMLandia</w:t>
      </w:r>
      <w:proofErr w:type="spellEnd"/>
      <w:r>
        <w:t>.</w:t>
      </w:r>
    </w:p>
    <w:p w:rsidR="003D0FE1" w:rsidRDefault="003D0FE1" w:rsidP="003D0FE1">
      <w:pPr>
        <w:pStyle w:val="ListParagraph"/>
        <w:numPr>
          <w:ilvl w:val="0"/>
          <w:numId w:val="2"/>
        </w:numPr>
      </w:pPr>
      <w:r>
        <w:t xml:space="preserve">Compute the resulting concentrations of PM-sulfate (resulting from SO2 emissions) for both East and West </w:t>
      </w:r>
      <w:proofErr w:type="spellStart"/>
      <w:r>
        <w:t>PMLandia</w:t>
      </w:r>
      <w:proofErr w:type="spellEnd"/>
    </w:p>
    <w:p w:rsidR="008562B7" w:rsidRDefault="003D0FE1" w:rsidP="001C5C95">
      <w:pPr>
        <w:pStyle w:val="ListParagraph"/>
        <w:numPr>
          <w:ilvl w:val="0"/>
          <w:numId w:val="2"/>
        </w:numPr>
      </w:pPr>
      <w:r>
        <w:t xml:space="preserve">Compute the total PM concentrations for East and West </w:t>
      </w:r>
      <w:proofErr w:type="spellStart"/>
      <w:r>
        <w:t>PMLandia</w:t>
      </w:r>
      <w:proofErr w:type="spellEnd"/>
      <w:r>
        <w:t>.</w:t>
      </w:r>
    </w:p>
    <w:p w:rsidR="008562B7" w:rsidRDefault="008562B7">
      <w:r>
        <w:t>Notes:</w:t>
      </w:r>
    </w:p>
    <w:p w:rsidR="008562B7" w:rsidRPr="001C5C95" w:rsidRDefault="008562B7">
      <w:pPr>
        <w:rPr>
          <w:sz w:val="20"/>
        </w:rPr>
      </w:pPr>
      <w:r w:rsidRPr="001C5C95">
        <w:rPr>
          <w:sz w:val="20"/>
        </w:rPr>
        <w:t xml:space="preserve">1: </w:t>
      </w:r>
      <w:r w:rsidR="00904662" w:rsidRPr="001C5C95">
        <w:rPr>
          <w:sz w:val="20"/>
        </w:rPr>
        <w:t>The number of locations in a source-receptor model varies based on the size of the domain and the desired spatial resolution. However, it is typically at least several thousand. The number of rows and columns in the source-receptor matrix increases accordingly.</w:t>
      </w:r>
    </w:p>
    <w:p w:rsidR="008562B7" w:rsidRPr="001C5C95" w:rsidRDefault="008562B7">
      <w:pPr>
        <w:rPr>
          <w:sz w:val="20"/>
        </w:rPr>
      </w:pPr>
      <w:r w:rsidRPr="001C5C95">
        <w:rPr>
          <w:sz w:val="20"/>
        </w:rPr>
        <w:t>2: Extension to additional precursor species is straightforward. Each contribution adds linearly.</w:t>
      </w:r>
    </w:p>
    <w:p w:rsidR="00D42552" w:rsidRPr="001C5C95" w:rsidRDefault="00D42552">
      <w:pPr>
        <w:rPr>
          <w:sz w:val="20"/>
        </w:rPr>
      </w:pPr>
      <w:r w:rsidRPr="001C5C95">
        <w:rPr>
          <w:sz w:val="20"/>
        </w:rPr>
        <w:t>3: The source-receptor matrices</w:t>
      </w:r>
      <w:bookmarkStart w:id="0" w:name="_GoBack"/>
      <w:bookmarkEnd w:id="0"/>
      <w:r w:rsidRPr="001C5C95">
        <w:rPr>
          <w:sz w:val="20"/>
        </w:rPr>
        <w:t xml:space="preserve"> are fictional but realistic in the following ways: a) they predict realistic PM concentrations for the given emissions rates; b) the diagonal elements of the source-receptor matrices are largest, reflecting the fact that emissions from each region have the strongest impact in the same region; c) matrix elements for SO2 are lower than for primary PM since only some SO2 forms PM; d) the impacts of gaseous precursors are more spread out compared to primary PM; e) there is an implied prevailing wind of west to east, and the impact of emissions from the east on West </w:t>
      </w:r>
      <w:proofErr w:type="spellStart"/>
      <w:r w:rsidRPr="001C5C95">
        <w:rPr>
          <w:sz w:val="20"/>
        </w:rPr>
        <w:t>PMLandia</w:t>
      </w:r>
      <w:proofErr w:type="spellEnd"/>
      <w:r w:rsidRPr="001C5C95">
        <w:rPr>
          <w:sz w:val="20"/>
        </w:rPr>
        <w:t xml:space="preserve"> is small.</w:t>
      </w:r>
    </w:p>
    <w:sectPr w:rsidR="00D42552" w:rsidRPr="001C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722AF"/>
    <w:multiLevelType w:val="hybridMultilevel"/>
    <w:tmpl w:val="914EF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D45215"/>
    <w:multiLevelType w:val="hybridMultilevel"/>
    <w:tmpl w:val="C41C1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2B7"/>
    <w:rsid w:val="00044D20"/>
    <w:rsid w:val="001C5C95"/>
    <w:rsid w:val="003D0FE1"/>
    <w:rsid w:val="008562B7"/>
    <w:rsid w:val="00904662"/>
    <w:rsid w:val="00D4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7C95"/>
  <w15:chartTrackingRefBased/>
  <w15:docId w15:val="{08E0F271-A587-49F8-AF4C-29A14C03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B7"/>
    <w:pPr>
      <w:ind w:left="720"/>
      <w:contextualSpacing/>
    </w:pPr>
  </w:style>
  <w:style w:type="table" w:styleId="TableGrid">
    <w:name w:val="Table Grid"/>
    <w:basedOn w:val="TableNormal"/>
    <w:uiPriority w:val="39"/>
    <w:rsid w:val="00904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09803">
      <w:bodyDiv w:val="1"/>
      <w:marLeft w:val="0"/>
      <w:marRight w:val="0"/>
      <w:marTop w:val="0"/>
      <w:marBottom w:val="0"/>
      <w:divBdr>
        <w:top w:val="none" w:sz="0" w:space="0" w:color="auto"/>
        <w:left w:val="none" w:sz="0" w:space="0" w:color="auto"/>
        <w:bottom w:val="none" w:sz="0" w:space="0" w:color="auto"/>
        <w:right w:val="none" w:sz="0" w:space="0" w:color="auto"/>
      </w:divBdr>
    </w:div>
    <w:div w:id="454256596">
      <w:bodyDiv w:val="1"/>
      <w:marLeft w:val="0"/>
      <w:marRight w:val="0"/>
      <w:marTop w:val="0"/>
      <w:marBottom w:val="0"/>
      <w:divBdr>
        <w:top w:val="none" w:sz="0" w:space="0" w:color="auto"/>
        <w:left w:val="none" w:sz="0" w:space="0" w:color="auto"/>
        <w:bottom w:val="none" w:sz="0" w:space="0" w:color="auto"/>
        <w:right w:val="none" w:sz="0" w:space="0" w:color="auto"/>
      </w:divBdr>
    </w:div>
    <w:div w:id="1206484556">
      <w:bodyDiv w:val="1"/>
      <w:marLeft w:val="0"/>
      <w:marRight w:val="0"/>
      <w:marTop w:val="0"/>
      <w:marBottom w:val="0"/>
      <w:divBdr>
        <w:top w:val="none" w:sz="0" w:space="0" w:color="auto"/>
        <w:left w:val="none" w:sz="0" w:space="0" w:color="auto"/>
        <w:bottom w:val="none" w:sz="0" w:space="0" w:color="auto"/>
        <w:right w:val="none" w:sz="0" w:space="0" w:color="auto"/>
      </w:divBdr>
    </w:div>
    <w:div w:id="1214273720">
      <w:bodyDiv w:val="1"/>
      <w:marLeft w:val="0"/>
      <w:marRight w:val="0"/>
      <w:marTop w:val="0"/>
      <w:marBottom w:val="0"/>
      <w:divBdr>
        <w:top w:val="none" w:sz="0" w:space="0" w:color="auto"/>
        <w:left w:val="none" w:sz="0" w:space="0" w:color="auto"/>
        <w:bottom w:val="none" w:sz="0" w:space="0" w:color="auto"/>
        <w:right w:val="none" w:sz="0" w:space="0" w:color="auto"/>
      </w:divBdr>
    </w:div>
    <w:div w:id="210476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294</Words>
  <Characters>1680</Characters>
  <Application>Microsoft Office Word</Application>
  <DocSecurity>0</DocSecurity>
  <Lines>14</Lines>
  <Paragraphs>3</Paragraphs>
  <ScaleCrop>false</ScaleCrop>
  <Company>Carnegie Mellon University College of Engineering</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Adams</dc:creator>
  <cp:keywords/>
  <dc:description/>
  <cp:lastModifiedBy>Peter J Adams</cp:lastModifiedBy>
  <cp:revision>5</cp:revision>
  <dcterms:created xsi:type="dcterms:W3CDTF">2022-09-14T17:18:00Z</dcterms:created>
  <dcterms:modified xsi:type="dcterms:W3CDTF">2022-09-14T17:35:00Z</dcterms:modified>
</cp:coreProperties>
</file>