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5B3C" w14:textId="52FCF568" w:rsidR="002339F7" w:rsidRDefault="00681909">
      <w:pPr>
        <w:rPr>
          <w:u w:val="single"/>
        </w:rPr>
      </w:pPr>
      <w:r w:rsidRPr="00237B11">
        <w:rPr>
          <w:u w:val="single"/>
        </w:rPr>
        <w:t xml:space="preserve">Process of estimating marginal social costs </w:t>
      </w:r>
    </w:p>
    <w:p w14:paraId="396A051C" w14:textId="59C2500D" w:rsidR="00E33EB3" w:rsidRDefault="00E33EB3" w:rsidP="00E235EC">
      <w:r w:rsidRPr="00E33EB3">
        <w:t xml:space="preserve">REACH marginal social costs </w:t>
      </w:r>
      <w:r w:rsidR="007C656C">
        <w:t xml:space="preserve">are estimated </w:t>
      </w:r>
      <w:r w:rsidR="001F0778">
        <w:t>using</w:t>
      </w:r>
      <w:r w:rsidRPr="00E33EB3">
        <w:t xml:space="preserve"> the GBD methodology of predicting </w:t>
      </w:r>
      <w:r w:rsidRPr="00E33EB3">
        <w:t>am</w:t>
      </w:r>
      <w:r>
        <w:t>bient PM2.5</w:t>
      </w:r>
      <w:r w:rsidR="001862EC">
        <w:t>-</w:t>
      </w:r>
      <w:r>
        <w:t xml:space="preserve">attributed mortalities. </w:t>
      </w:r>
      <w:r w:rsidR="007142BD">
        <w:t xml:space="preserve">Input data for the REACH-Southern Africa domain </w:t>
      </w:r>
      <w:r w:rsidR="008364CE">
        <w:t>is</w:t>
      </w:r>
      <w:r w:rsidR="007142BD">
        <w:t xml:space="preserve"> provided</w:t>
      </w:r>
      <w:r w:rsidR="004D5E20">
        <w:t xml:space="preserve"> as an example</w:t>
      </w:r>
      <w:r w:rsidR="007142BD">
        <w:t xml:space="preserve">. </w:t>
      </w:r>
      <w:r w:rsidR="007142BD">
        <w:tab/>
        <w:t xml:space="preserve"> </w:t>
      </w:r>
    </w:p>
    <w:p w14:paraId="2C588439" w14:textId="77777777" w:rsidR="00E235EC" w:rsidRPr="00E33EB3" w:rsidRDefault="00E235EC" w:rsidP="00E235EC"/>
    <w:p w14:paraId="7638AF4B" w14:textId="62E40302" w:rsidR="0069544E" w:rsidRDefault="0069544E">
      <w:pPr>
        <w:rPr>
          <w:u w:val="single"/>
        </w:rPr>
      </w:pPr>
      <w:r>
        <w:rPr>
          <w:u w:val="single"/>
        </w:rPr>
        <w:t>Data needed</w:t>
      </w:r>
    </w:p>
    <w:p w14:paraId="7B56C0F9" w14:textId="6591F9A3" w:rsidR="0069544E" w:rsidRDefault="0069544E" w:rsidP="0069544E">
      <w:pPr>
        <w:pStyle w:val="ListParagraph"/>
        <w:numPr>
          <w:ilvl w:val="0"/>
          <w:numId w:val="6"/>
        </w:numPr>
      </w:pPr>
      <w:r>
        <w:t xml:space="preserve">Population by age group (age 25 yr +) and location </w:t>
      </w:r>
    </w:p>
    <w:p w14:paraId="3DD1FF49" w14:textId="520F80E8" w:rsidR="0069544E" w:rsidRDefault="004D5E20" w:rsidP="0069544E">
      <w:pPr>
        <w:pStyle w:val="ListParagraph"/>
        <w:numPr>
          <w:ilvl w:val="0"/>
          <w:numId w:val="6"/>
        </w:numPr>
      </w:pPr>
      <w:r>
        <w:t xml:space="preserve">Download </w:t>
      </w:r>
      <w:r w:rsidR="00B53CF8">
        <w:t>GBD c</w:t>
      </w:r>
      <w:r w:rsidR="0069544E">
        <w:t>ountry-specific mortality rates</w:t>
      </w:r>
      <w:r w:rsidR="00B53CF8">
        <w:t xml:space="preserve"> by cause of disease:</w:t>
      </w:r>
    </w:p>
    <w:p w14:paraId="74813F85" w14:textId="47F70D40" w:rsidR="00B53CF8" w:rsidRDefault="00B53CF8" w:rsidP="00B53CF8">
      <w:pPr>
        <w:pStyle w:val="ListParagraph"/>
      </w:pPr>
      <w:r>
        <w:t>-</w:t>
      </w:r>
      <w:r>
        <w:tab/>
        <w:t>ischemic heart disease</w:t>
      </w:r>
      <w:r w:rsidR="00DD7064">
        <w:t xml:space="preserve"> (IHD)</w:t>
      </w:r>
    </w:p>
    <w:p w14:paraId="1D6EC48F" w14:textId="77777777" w:rsidR="00B53CF8" w:rsidRDefault="00B53CF8" w:rsidP="00B53CF8">
      <w:pPr>
        <w:pStyle w:val="ListParagraph"/>
      </w:pPr>
      <w:r>
        <w:t>-</w:t>
      </w:r>
      <w:r>
        <w:tab/>
        <w:t>stroke</w:t>
      </w:r>
    </w:p>
    <w:p w14:paraId="3D776383" w14:textId="336B7941" w:rsidR="00B53CF8" w:rsidRDefault="00B53CF8" w:rsidP="00B53CF8">
      <w:pPr>
        <w:pStyle w:val="ListParagraph"/>
      </w:pPr>
      <w:r>
        <w:t>-</w:t>
      </w:r>
      <w:r>
        <w:tab/>
        <w:t>chronic obstructive pulmonary disease</w:t>
      </w:r>
      <w:r w:rsidR="00DD7064">
        <w:t xml:space="preserve"> (COPD)</w:t>
      </w:r>
    </w:p>
    <w:p w14:paraId="28316FF5" w14:textId="29EF1E8E" w:rsidR="00B53CF8" w:rsidRDefault="00B53CF8" w:rsidP="00B53CF8">
      <w:pPr>
        <w:pStyle w:val="ListParagraph"/>
      </w:pPr>
      <w:r>
        <w:t>-</w:t>
      </w:r>
      <w:r>
        <w:tab/>
        <w:t>lung cancer</w:t>
      </w:r>
      <w:r w:rsidR="00DD7064">
        <w:t xml:space="preserve"> (LC)</w:t>
      </w:r>
    </w:p>
    <w:p w14:paraId="0BA0DBE7" w14:textId="2FFB413D" w:rsidR="00B53CF8" w:rsidRDefault="00B53CF8" w:rsidP="00B53CF8">
      <w:pPr>
        <w:pStyle w:val="ListParagraph"/>
      </w:pPr>
      <w:r>
        <w:t>-</w:t>
      </w:r>
      <w:r>
        <w:tab/>
        <w:t>lower respiratory infections</w:t>
      </w:r>
      <w:r w:rsidR="00DD7064">
        <w:t xml:space="preserve"> (LRI)</w:t>
      </w:r>
    </w:p>
    <w:p w14:paraId="7686D556" w14:textId="58B9BBCD" w:rsidR="00B53CF8" w:rsidRDefault="00B53CF8" w:rsidP="00B53CF8">
      <w:pPr>
        <w:pStyle w:val="ListParagraph"/>
      </w:pPr>
      <w:r>
        <w:t>-</w:t>
      </w:r>
      <w:r>
        <w:tab/>
        <w:t>type II diabetes</w:t>
      </w:r>
      <w:r w:rsidR="00DD7064">
        <w:t xml:space="preserve"> (DM)</w:t>
      </w:r>
    </w:p>
    <w:p w14:paraId="062D1B24" w14:textId="5F46EA68" w:rsidR="00B53CF8" w:rsidRDefault="00B53CF8" w:rsidP="00B53CF8">
      <w:pPr>
        <w:pStyle w:val="ListParagraph"/>
        <w:rPr>
          <w:color w:val="FF0000"/>
        </w:rPr>
      </w:pPr>
      <w:hyperlink r:id="rId5" w:history="1">
        <w:r w:rsidRPr="00310085">
          <w:rPr>
            <w:rStyle w:val="Hyperlink"/>
          </w:rPr>
          <w:t>https://vizhub.healthdata.org/gbd-results/</w:t>
        </w:r>
      </w:hyperlink>
    </w:p>
    <w:p w14:paraId="428455C0" w14:textId="77777777" w:rsidR="004D5E20" w:rsidRDefault="004D5E20" w:rsidP="00B53CF8">
      <w:pPr>
        <w:pStyle w:val="ListParagraph"/>
      </w:pPr>
    </w:p>
    <w:p w14:paraId="6378C53A" w14:textId="76BDA55F" w:rsidR="00D904A5" w:rsidRDefault="00B53CF8" w:rsidP="004F29F9">
      <w:pPr>
        <w:pStyle w:val="ListParagraph"/>
      </w:pPr>
      <w:r w:rsidRPr="007B713B">
        <w:drawing>
          <wp:inline distT="0" distB="0" distL="0" distR="0" wp14:anchorId="1C9699A7" wp14:editId="61D10C32">
            <wp:extent cx="1526650" cy="3110053"/>
            <wp:effectExtent l="0" t="0" r="0" b="0"/>
            <wp:docPr id="1470442296" name="Picture 1" descr="A screenshot of a medical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2296" name="Picture 1" descr="A screenshot of a medical surve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16" cy="31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8D95" w14:textId="5BFF1295" w:rsidR="00681909" w:rsidRPr="00EA4365" w:rsidRDefault="00E91B7B">
      <w:pPr>
        <w:rPr>
          <w:u w:val="single"/>
        </w:rPr>
      </w:pPr>
      <w:r w:rsidRPr="00EA4365">
        <w:rPr>
          <w:u w:val="single"/>
        </w:rPr>
        <w:t>Steps</w:t>
      </w:r>
    </w:p>
    <w:p w14:paraId="0E15BFA6" w14:textId="0DFE0F81" w:rsidR="003D16FA" w:rsidRDefault="00E91B7B" w:rsidP="00B53CF8">
      <w:pPr>
        <w:pStyle w:val="ListParagraph"/>
        <w:numPr>
          <w:ilvl w:val="0"/>
          <w:numId w:val="3"/>
        </w:numPr>
      </w:pPr>
      <w:r>
        <w:t>Prepare</w:t>
      </w:r>
      <w:r w:rsidR="00E33EB3">
        <w:t xml:space="preserve"> a</w:t>
      </w:r>
      <w:r>
        <w:t xml:space="preserve"> file with p</w:t>
      </w:r>
      <w:r w:rsidR="00681909">
        <w:t>opulation by age group and location</w:t>
      </w:r>
    </w:p>
    <w:p w14:paraId="26781A41" w14:textId="34B992F3" w:rsidR="00985CA7" w:rsidRDefault="00985CA7" w:rsidP="00985CA7">
      <w:pPr>
        <w:pStyle w:val="ListParagraph"/>
        <w:numPr>
          <w:ilvl w:val="0"/>
          <w:numId w:val="8"/>
        </w:numPr>
      </w:pPr>
      <w:r>
        <w:t xml:space="preserve">See script </w:t>
      </w:r>
      <w:r w:rsidRPr="00985CA7">
        <w:rPr>
          <w:i/>
          <w:iCs/>
        </w:rPr>
        <w:t>00_popbyage.R</w:t>
      </w:r>
      <w:r>
        <w:t xml:space="preserve"> for example</w:t>
      </w:r>
    </w:p>
    <w:p w14:paraId="6F949235" w14:textId="77777777" w:rsidR="0062426B" w:rsidRDefault="00B53CF8" w:rsidP="00B53CF8">
      <w:pPr>
        <w:pStyle w:val="ListParagraph"/>
        <w:numPr>
          <w:ilvl w:val="0"/>
          <w:numId w:val="3"/>
        </w:numPr>
      </w:pPr>
      <w:r>
        <w:t xml:space="preserve">Compute </w:t>
      </w:r>
      <w:r w:rsidR="00F56EEC">
        <w:t>baseline mortalities</w:t>
      </w:r>
      <w:r w:rsidR="00A46990">
        <w:t xml:space="preserve"> </w:t>
      </w:r>
    </w:p>
    <w:p w14:paraId="11ACA7EA" w14:textId="58019784" w:rsidR="00F56EEC" w:rsidRDefault="00A46990" w:rsidP="0062426B">
      <w:pPr>
        <w:pStyle w:val="ListParagraph"/>
        <w:numPr>
          <w:ilvl w:val="0"/>
          <w:numId w:val="7"/>
        </w:numPr>
      </w:pPr>
      <w:r>
        <w:lastRenderedPageBreak/>
        <w:t xml:space="preserve">Edit and run </w:t>
      </w:r>
      <w:r w:rsidRPr="0062426B">
        <w:rPr>
          <w:i/>
          <w:iCs/>
        </w:rPr>
        <w:t>01_mortality_bycause.R</w:t>
      </w:r>
    </w:p>
    <w:p w14:paraId="02C2215A" w14:textId="0ECA2D87" w:rsidR="00F56EEC" w:rsidRDefault="00F56EEC" w:rsidP="00F56EEC">
      <w:pPr>
        <w:pStyle w:val="ListParagraph"/>
        <w:numPr>
          <w:ilvl w:val="0"/>
          <w:numId w:val="3"/>
        </w:numPr>
      </w:pPr>
      <w:r>
        <w:t xml:space="preserve">Calculate baseline PM2.5 attributable mortalities: </w:t>
      </w:r>
    </w:p>
    <w:p w14:paraId="5D2611EA" w14:textId="7202A142" w:rsidR="004D5E20" w:rsidRDefault="0062426B" w:rsidP="004D5E20">
      <w:pPr>
        <w:pStyle w:val="ListParagraph"/>
        <w:numPr>
          <w:ilvl w:val="0"/>
          <w:numId w:val="7"/>
        </w:numPr>
      </w:pPr>
      <w:r>
        <w:t xml:space="preserve">Edit and run </w:t>
      </w:r>
      <w:r w:rsidRPr="0062426B">
        <w:rPr>
          <w:i/>
          <w:iCs/>
        </w:rPr>
        <w:t>02_basePM25_deaths.R</w:t>
      </w:r>
    </w:p>
    <w:p w14:paraId="72DAC86C" w14:textId="48F1BCD6" w:rsidR="00F56EEC" w:rsidRDefault="00F56EEC" w:rsidP="00F56EEC">
      <w:pPr>
        <w:pStyle w:val="ListParagraph"/>
        <w:numPr>
          <w:ilvl w:val="0"/>
          <w:numId w:val="3"/>
        </w:numPr>
      </w:pPr>
      <w:r>
        <w:t>Marginal social costs</w:t>
      </w:r>
    </w:p>
    <w:p w14:paraId="4C0865A3" w14:textId="617F6976" w:rsidR="00F16194" w:rsidRDefault="00CA3EB4" w:rsidP="00F16194">
      <w:pPr>
        <w:pStyle w:val="ListParagraph"/>
        <w:numPr>
          <w:ilvl w:val="0"/>
          <w:numId w:val="7"/>
        </w:numPr>
      </w:pPr>
      <w:r w:rsidRPr="009F5258">
        <w:rPr>
          <w:i/>
          <w:iCs/>
        </w:rPr>
        <w:t>new_mort.R</w:t>
      </w:r>
      <w:r>
        <w:t>: Calculate new PM2.5 mortalities based on 1 tonne addition of a PM2.5 precursor to a source location. The difference in mortalities resulting from this addition and the baseline is the marginal social cost (mortalities/tonne)</w:t>
      </w:r>
    </w:p>
    <w:p w14:paraId="05E591F4" w14:textId="4BB59E11" w:rsidR="007C656C" w:rsidRDefault="00B35E05" w:rsidP="007C656C">
      <w:pPr>
        <w:pStyle w:val="ListParagraph"/>
        <w:numPr>
          <w:ilvl w:val="0"/>
          <w:numId w:val="7"/>
        </w:numPr>
      </w:pPr>
      <w:r w:rsidRPr="009F5258">
        <w:rPr>
          <w:i/>
          <w:iCs/>
        </w:rPr>
        <w:t>GBD_relative_risk.R</w:t>
      </w:r>
      <w:r>
        <w:t>: script with GBD concentration-response by cause of disease and interpolates RR for REACH PM2.5 estimates</w:t>
      </w:r>
    </w:p>
    <w:p w14:paraId="66A4181C" w14:textId="548D4977" w:rsidR="00CA3EB4" w:rsidRDefault="00CA3EB4" w:rsidP="00CA3EB4">
      <w:pPr>
        <w:ind w:left="720"/>
      </w:pPr>
      <w:r>
        <w:t>Edit and run the following scripts for the marginal social costs</w:t>
      </w:r>
    </w:p>
    <w:p w14:paraId="450F2863" w14:textId="4829FE4A" w:rsidR="00CA3EB4" w:rsidRDefault="00CA3EB4" w:rsidP="00CA3EB4">
      <w:pPr>
        <w:pStyle w:val="ListParagraph"/>
        <w:numPr>
          <w:ilvl w:val="0"/>
          <w:numId w:val="7"/>
        </w:numPr>
      </w:pPr>
      <w:r>
        <w:t xml:space="preserve">PM_damage.R: primary PM2.5 </w:t>
      </w:r>
      <w:r w:rsidR="00F16194">
        <w:t>marginal social costs</w:t>
      </w:r>
    </w:p>
    <w:p w14:paraId="047A6FAB" w14:textId="33B7EE07" w:rsidR="00CA3EB4" w:rsidRDefault="00CA3EB4" w:rsidP="00CA3EB4">
      <w:pPr>
        <w:pStyle w:val="ListParagraph"/>
        <w:numPr>
          <w:ilvl w:val="0"/>
          <w:numId w:val="7"/>
        </w:numPr>
      </w:pPr>
      <w:r>
        <w:t>NH3_damage.R</w:t>
      </w:r>
      <w:r w:rsidR="00F16194">
        <w:t xml:space="preserve">: NH3 </w:t>
      </w:r>
      <w:r w:rsidR="00F16194">
        <w:t>marginal social costs</w:t>
      </w:r>
    </w:p>
    <w:p w14:paraId="6C9AA050" w14:textId="539DEB37" w:rsidR="00CA3EB4" w:rsidRDefault="00CA3EB4" w:rsidP="00CA3EB4">
      <w:pPr>
        <w:pStyle w:val="ListParagraph"/>
        <w:numPr>
          <w:ilvl w:val="0"/>
          <w:numId w:val="7"/>
        </w:numPr>
      </w:pPr>
      <w:r>
        <w:t>NOX_damage.R</w:t>
      </w:r>
      <w:r w:rsidR="00F16194">
        <w:t xml:space="preserve">: NOX </w:t>
      </w:r>
      <w:r w:rsidR="00F16194">
        <w:t>marginal social costs</w:t>
      </w:r>
    </w:p>
    <w:p w14:paraId="29C2AB2C" w14:textId="2426EFCC" w:rsidR="00CA3EB4" w:rsidRDefault="00CA3EB4" w:rsidP="00CA3EB4">
      <w:pPr>
        <w:pStyle w:val="ListParagraph"/>
        <w:numPr>
          <w:ilvl w:val="0"/>
          <w:numId w:val="7"/>
        </w:numPr>
      </w:pPr>
      <w:r>
        <w:t>SO2_damage.R</w:t>
      </w:r>
      <w:r w:rsidR="00F16194">
        <w:t xml:space="preserve">: SO2 </w:t>
      </w:r>
      <w:r w:rsidR="00F16194">
        <w:t>marginal social costs</w:t>
      </w:r>
    </w:p>
    <w:p w14:paraId="79E5C29E" w14:textId="43B358A2" w:rsidR="00CA3EB4" w:rsidRDefault="00CA3EB4" w:rsidP="00CA3EB4">
      <w:pPr>
        <w:pStyle w:val="ListParagraph"/>
        <w:numPr>
          <w:ilvl w:val="0"/>
          <w:numId w:val="7"/>
        </w:numPr>
      </w:pPr>
      <w:r>
        <w:t>VOC_damage.R</w:t>
      </w:r>
      <w:r w:rsidR="00F16194">
        <w:t xml:space="preserve">: VOC </w:t>
      </w:r>
      <w:r w:rsidR="00F16194">
        <w:t>marginal social costs</w:t>
      </w:r>
    </w:p>
    <w:p w14:paraId="05E150D8" w14:textId="77777777" w:rsidR="00BA7DFD" w:rsidRDefault="00BA7DFD" w:rsidP="004D5E20"/>
    <w:p w14:paraId="6872BEAE" w14:textId="5C008443" w:rsidR="00681909" w:rsidRDefault="005754FE" w:rsidP="005D5CA9">
      <w:r>
        <w:t xml:space="preserve">Note about calculating </w:t>
      </w:r>
      <w:r w:rsidRPr="007142BD">
        <w:rPr>
          <w:u w:val="single"/>
        </w:rPr>
        <w:t>total</w:t>
      </w:r>
      <w:r>
        <w:t xml:space="preserve"> PM2.5</w:t>
      </w:r>
      <w:r w:rsidR="007142BD">
        <w:t>-</w:t>
      </w:r>
      <w:r>
        <w:t xml:space="preserve">attributed deaths. Estimate from script </w:t>
      </w:r>
      <w:r w:rsidR="00E33EB3">
        <w:t>(</w:t>
      </w:r>
      <w:r w:rsidR="00E33EB3" w:rsidRPr="0062426B">
        <w:rPr>
          <w:i/>
          <w:iCs/>
        </w:rPr>
        <w:t>02_basePM25_deaths.R</w:t>
      </w:r>
      <w:r w:rsidR="00E33EB3">
        <w:t>)</w:t>
      </w:r>
      <w:r>
        <w:t xml:space="preserve"> and not from </w:t>
      </w:r>
      <w:r w:rsidR="007142BD">
        <w:t xml:space="preserve">multiplying emissions by the </w:t>
      </w:r>
      <w:r>
        <w:t>marginal social costs.</w:t>
      </w:r>
      <w:r w:rsidR="00F33C7E">
        <w:t xml:space="preserve"> </w:t>
      </w:r>
      <w:r w:rsidR="005D5CA9" w:rsidRPr="005D5CA9">
        <w:t xml:space="preserve">The marginal social cost approach assumes a linear relationship between emissions and mortality, whereas the concentration-response functions are non-linear. </w:t>
      </w:r>
    </w:p>
    <w:p w14:paraId="4EE1B445" w14:textId="77777777" w:rsidR="00237B11" w:rsidRDefault="00237B11" w:rsidP="00681909"/>
    <w:p w14:paraId="3D1984BA" w14:textId="7CD43709" w:rsidR="00681909" w:rsidRPr="005637B1" w:rsidRDefault="007C656C" w:rsidP="00681909">
      <w:pPr>
        <w:rPr>
          <w:u w:val="single"/>
        </w:rPr>
      </w:pPr>
      <w:r w:rsidRPr="005637B1">
        <w:rPr>
          <w:u w:val="single"/>
        </w:rPr>
        <w:t>References</w:t>
      </w:r>
    </w:p>
    <w:p w14:paraId="25A54EFA" w14:textId="7772AC3D" w:rsidR="005637B1" w:rsidRDefault="00AE01DB" w:rsidP="00681909">
      <w:r>
        <w:t>GBD PM2.5</w:t>
      </w:r>
      <w:r w:rsidR="009F5258">
        <w:t xml:space="preserve"> </w:t>
      </w:r>
      <w:r>
        <w:t>attribut</w:t>
      </w:r>
      <w:r w:rsidR="009F5258">
        <w:t>able</w:t>
      </w:r>
      <w:r w:rsidR="00162B07">
        <w:t xml:space="preserve"> </w:t>
      </w:r>
      <w:r>
        <w:t>mortality method</w:t>
      </w:r>
      <w:r w:rsidR="005637B1">
        <w:t xml:space="preserve">: </w:t>
      </w:r>
    </w:p>
    <w:p w14:paraId="4F299323" w14:textId="716F0F78" w:rsidR="007C656C" w:rsidRDefault="007C656C" w:rsidP="005637B1">
      <w:pPr>
        <w:spacing w:line="240" w:lineRule="auto"/>
        <w:ind w:left="720"/>
      </w:pPr>
      <w:r>
        <w:t>McDuffie, Erin E., Randall V. Martin, Joseph V. Spadaro, Richard Burnett,</w:t>
      </w:r>
      <w:r w:rsidR="005637B1">
        <w:t xml:space="preserve"> </w:t>
      </w:r>
      <w:r>
        <w:t>Steven J. Smith, Patrick O’Rourke, Melanie S. Hammer, et al. 2021.</w:t>
      </w:r>
      <w:r w:rsidR="005637B1">
        <w:t xml:space="preserve"> </w:t>
      </w:r>
      <w:r>
        <w:t>“Source Sector and Fuel Contributions to Ambient PM2.5 and Attributable</w:t>
      </w:r>
      <w:r w:rsidR="005637B1">
        <w:t xml:space="preserve"> </w:t>
      </w:r>
      <w:r>
        <w:t xml:space="preserve">Mortality across Multiple Spatial Scales.” Nature Communications 12 (1):3594. </w:t>
      </w:r>
      <w:hyperlink r:id="rId7" w:history="1">
        <w:r w:rsidRPr="00310085">
          <w:rPr>
            <w:rStyle w:val="Hyperlink"/>
          </w:rPr>
          <w:t>https://doi.org/10.1038/s41467-021-23853-y</w:t>
        </w:r>
      </w:hyperlink>
      <w:r>
        <w:t>.</w:t>
      </w:r>
    </w:p>
    <w:p w14:paraId="46545C13" w14:textId="7FB56942" w:rsidR="005637B1" w:rsidRDefault="005637B1" w:rsidP="007C656C">
      <w:pPr>
        <w:spacing w:line="240" w:lineRule="auto"/>
      </w:pPr>
      <w:r>
        <w:t xml:space="preserve">GBD </w:t>
      </w:r>
      <w:r w:rsidR="00162B07">
        <w:t>relative risk</w:t>
      </w:r>
      <w:r>
        <w:t xml:space="preserve"> is obtained from:</w:t>
      </w:r>
    </w:p>
    <w:p w14:paraId="01E96159" w14:textId="5FE0C2AE" w:rsidR="007C656C" w:rsidRDefault="005637B1" w:rsidP="005637B1">
      <w:pPr>
        <w:spacing w:line="240" w:lineRule="auto"/>
        <w:ind w:left="720"/>
      </w:pPr>
      <w:r w:rsidRPr="005637B1">
        <w:t xml:space="preserve">McDuffie, E., Brauer, M., Martin, R., Spadaro, J., Burnett, R., Hammer, M., &amp; van Donkelaar, A. (2021). GBD-MAPS-Global: Analysis Input Dataset [Data set]. Zenodo. </w:t>
      </w:r>
      <w:hyperlink r:id="rId8" w:tgtFrame="_blank" w:history="1">
        <w:r w:rsidRPr="005637B1">
          <w:rPr>
            <w:rStyle w:val="Hyperlink"/>
          </w:rPr>
          <w:t>https://doi.org/10.5281/zenodo.4642700</w:t>
        </w:r>
      </w:hyperlink>
    </w:p>
    <w:sectPr w:rsidR="007C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FD3"/>
    <w:multiLevelType w:val="hybridMultilevel"/>
    <w:tmpl w:val="9EDA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570A"/>
    <w:multiLevelType w:val="hybridMultilevel"/>
    <w:tmpl w:val="15187DA8"/>
    <w:lvl w:ilvl="0" w:tplc="7506F54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9173C"/>
    <w:multiLevelType w:val="hybridMultilevel"/>
    <w:tmpl w:val="6A2A67E6"/>
    <w:lvl w:ilvl="0" w:tplc="94AE3D98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3657C"/>
    <w:multiLevelType w:val="hybridMultilevel"/>
    <w:tmpl w:val="A19C550E"/>
    <w:lvl w:ilvl="0" w:tplc="65AE222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60F63"/>
    <w:multiLevelType w:val="hybridMultilevel"/>
    <w:tmpl w:val="BDE47D4E"/>
    <w:lvl w:ilvl="0" w:tplc="9D8CB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41813"/>
    <w:multiLevelType w:val="hybridMultilevel"/>
    <w:tmpl w:val="3B88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120B1"/>
    <w:multiLevelType w:val="hybridMultilevel"/>
    <w:tmpl w:val="C4CC4194"/>
    <w:lvl w:ilvl="0" w:tplc="B22235B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7122A6"/>
    <w:multiLevelType w:val="hybridMultilevel"/>
    <w:tmpl w:val="A00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7344">
    <w:abstractNumId w:val="5"/>
  </w:num>
  <w:num w:numId="2" w16cid:durableId="1639260902">
    <w:abstractNumId w:val="0"/>
  </w:num>
  <w:num w:numId="3" w16cid:durableId="859199862">
    <w:abstractNumId w:val="7"/>
  </w:num>
  <w:num w:numId="4" w16cid:durableId="115878539">
    <w:abstractNumId w:val="2"/>
  </w:num>
  <w:num w:numId="5" w16cid:durableId="617954959">
    <w:abstractNumId w:val="3"/>
  </w:num>
  <w:num w:numId="6" w16cid:durableId="984502975">
    <w:abstractNumId w:val="4"/>
  </w:num>
  <w:num w:numId="7" w16cid:durableId="100495859">
    <w:abstractNumId w:val="6"/>
  </w:num>
  <w:num w:numId="8" w16cid:durableId="203333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67"/>
    <w:rsid w:val="000E6A9A"/>
    <w:rsid w:val="00162B07"/>
    <w:rsid w:val="00167770"/>
    <w:rsid w:val="001862EC"/>
    <w:rsid w:val="001B2C58"/>
    <w:rsid w:val="001D5E0F"/>
    <w:rsid w:val="001E680C"/>
    <w:rsid w:val="001F0778"/>
    <w:rsid w:val="00211E8B"/>
    <w:rsid w:val="002339F7"/>
    <w:rsid w:val="00237B11"/>
    <w:rsid w:val="002721F8"/>
    <w:rsid w:val="0034531A"/>
    <w:rsid w:val="0036145D"/>
    <w:rsid w:val="003D16FA"/>
    <w:rsid w:val="003E70E5"/>
    <w:rsid w:val="004D3AF1"/>
    <w:rsid w:val="004D5E20"/>
    <w:rsid w:val="004F29F9"/>
    <w:rsid w:val="00551751"/>
    <w:rsid w:val="005637B1"/>
    <w:rsid w:val="005754FE"/>
    <w:rsid w:val="005D5CA9"/>
    <w:rsid w:val="0062426B"/>
    <w:rsid w:val="00637503"/>
    <w:rsid w:val="00656549"/>
    <w:rsid w:val="00681909"/>
    <w:rsid w:val="00685FD3"/>
    <w:rsid w:val="0069544E"/>
    <w:rsid w:val="007142BD"/>
    <w:rsid w:val="00733556"/>
    <w:rsid w:val="00765565"/>
    <w:rsid w:val="007B713B"/>
    <w:rsid w:val="007C656C"/>
    <w:rsid w:val="008364CE"/>
    <w:rsid w:val="00930409"/>
    <w:rsid w:val="00934212"/>
    <w:rsid w:val="00954C61"/>
    <w:rsid w:val="00985CA7"/>
    <w:rsid w:val="009E6A2A"/>
    <w:rsid w:val="009F5258"/>
    <w:rsid w:val="00A45C75"/>
    <w:rsid w:val="00A46990"/>
    <w:rsid w:val="00AD7056"/>
    <w:rsid w:val="00AE01DB"/>
    <w:rsid w:val="00B35E05"/>
    <w:rsid w:val="00B53CF8"/>
    <w:rsid w:val="00BA7DFD"/>
    <w:rsid w:val="00BE0067"/>
    <w:rsid w:val="00CA3EB4"/>
    <w:rsid w:val="00CA4042"/>
    <w:rsid w:val="00CA5810"/>
    <w:rsid w:val="00CE668C"/>
    <w:rsid w:val="00CF179C"/>
    <w:rsid w:val="00D904A5"/>
    <w:rsid w:val="00DD7064"/>
    <w:rsid w:val="00E235EC"/>
    <w:rsid w:val="00E30AA1"/>
    <w:rsid w:val="00E33EB3"/>
    <w:rsid w:val="00E91B7B"/>
    <w:rsid w:val="00EA4365"/>
    <w:rsid w:val="00F16194"/>
    <w:rsid w:val="00F33C7E"/>
    <w:rsid w:val="00F56EEC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66DB"/>
  <w15:chartTrackingRefBased/>
  <w15:docId w15:val="{AF79101B-EF3F-4C8C-A89A-E407668D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75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3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4642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467-021-23853-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zhub.healthdata.org/gbd-resul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 Akindele</dc:creator>
  <cp:keywords/>
  <dc:description/>
  <cp:lastModifiedBy>Medinat Akindele</cp:lastModifiedBy>
  <cp:revision>53</cp:revision>
  <dcterms:created xsi:type="dcterms:W3CDTF">2025-04-20T20:26:00Z</dcterms:created>
  <dcterms:modified xsi:type="dcterms:W3CDTF">2025-05-25T00:13:00Z</dcterms:modified>
</cp:coreProperties>
</file>