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794169" cy="95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_logo_with_tex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4169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br/>
        <w:br/>
        <w:t>Title: Customer Insights</w:t>
      </w:r>
    </w:p>
    <w:p>
      <w:r>
        <w:rPr>
          <w:b/>
        </w:rPr>
        <w:t>A Mediumroast, Inc. study report enabling attributable market insights.</w:t>
      </w:r>
    </w:p>
    <w:p>
      <w:r>
        <w:br/>
        <w:t xml:space="preserve">Author: </w:t>
      </w:r>
      <w:r>
        <w:rPr>
          <w:b/>
        </w:rPr>
        <w:t>Mediumroast Barrista Robot</w:t>
      </w:r>
    </w:p>
    <w:p>
      <w:r>
        <w:t xml:space="preserve">Creation Date: </w:t>
      </w:r>
      <w:r>
        <w:rPr>
          <w:b/>
        </w:rPr>
        <w:t>2021-10-24 04:42</w:t>
      </w:r>
    </w:p>
    <w:p>
      <w:r>
        <w:br w:type="page"/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  <w:tab/>
      <w:t xml:space="preserve"> | </w:t>
      <w:tab/>
      <w:t>Copyright 2021, Mediumroast, Inc. All rights reserved.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04:42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venir Next" w:hAnsi="Avenir Next"/>
      <w:color w:val="17365D" w:themeColor="text2" w:themeShade="BF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