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04:02</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2 — Using competitive white papers look for competitive insights.</w:t>
      </w:r>
    </w:p>
    <w:tbl>
      <w:tblPr>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Frequency</w:t>
            </w:r>
          </w:p>
        </w:tc>
        <w:tc>
          <w:tcPr>
            <w:tcW w:type="dxa" w:w="2040"/>
          </w:tcPr>
          <w:p>
            <w:r>
              <w:t>Snippet</w:t>
            </w:r>
          </w:p>
        </w:tc>
        <w:tc>
          <w:tcPr>
            <w:tcW w:type="dxa" w:w="2040"/>
          </w:tcPr>
          <w:p>
            <w:r>
              <w:t>Source</w:t>
            </w:r>
          </w:p>
        </w:tc>
        <w:tc>
          <w:tcPr>
            <w:tcW w:type="dxa" w:w="2040"/>
          </w:tcPr>
          <w:p/>
        </w:tc>
      </w:tr>
      <w:tr>
        <w:tc>
          <w:tcPr>
            <w:tcW w:type="dxa" w:w="2040"/>
          </w:tcPr>
          <w:p>
            <w:r>
              <w:t>Summary Theme</w:t>
            </w:r>
          </w:p>
        </w:tc>
        <w:tc>
          <w:tcPr>
            <w:tcW w:type="dxa" w:w="2040"/>
          </w:tcPr>
          <w:p>
            <w:r>
              <w:t>Summary</w:t>
            </w:r>
          </w:p>
        </w:tc>
        <w:tc>
          <w:tcPr>
            <w:tcW w:type="dxa" w:w="2040"/>
          </w:tcPr>
          <w:p>
            <w:r>
              <w:t>N/A</w:t>
            </w:r>
          </w:p>
        </w:tc>
        <w:tc>
          <w:tcPr>
            <w:tcW w:type="dxa" w:w="2040"/>
          </w:tcPr>
          <w:p>
            <w:r>
              <w:t>RETHINK DATA: PUT MORE OF YOUR BUSINESS DATA TO WORK—FROM EDGE TO CLOUD | 35 | CHAPTER SEVEN Data Security and Data Management In addition to DataOps a unique part of data management that deserves a special examination is data security.</w:t>
            </w:r>
          </w:p>
        </w:tc>
        <w:tc>
          <w:tcPr>
            <w:tcW w:type="dxa" w:w="2040"/>
          </w:tcPr>
          <w:p/>
        </w:tc>
        <w:tc>
          <w:tcPr>
            <w:tcW w:type="dxa" w:w="2040"/>
          </w:tcPr>
          <w:p>
            <w:r>
              <w:t>202007010000-Reverse CDN-Seagate</w:t>
            </w:r>
          </w:p>
        </w:tc>
      </w:tr>
    </w:tbl>
    <w:p>
      <w:r>
        <w:br w:type="page"/>
      </w:r>
    </w:p>
    <w:p>
      <w:pPr>
        <w:pStyle w:val="Heading1"/>
      </w:pPr>
      <w:r>
        <w:t>Sub-Study Identifier: default — Gain a clear understanding of the problem space to build a proper product plan for streaming storage.</w:t>
      </w:r>
    </w:p>
    <w:tbl>
      <w:tblPr>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Frequency</w:t>
            </w:r>
          </w:p>
        </w:tc>
        <w:tc>
          <w:tcPr>
            <w:tcW w:type="dxa" w:w="2040"/>
          </w:tcPr>
          <w:p>
            <w:r>
              <w:t>Snippet</w:t>
            </w:r>
          </w:p>
        </w:tc>
        <w:tc>
          <w:tcPr>
            <w:tcW w:type="dxa" w:w="2040"/>
          </w:tcPr>
          <w:p>
            <w:r>
              <w:t>Source</w:t>
            </w:r>
          </w:p>
        </w:tc>
        <w:tc>
          <w:tcPr>
            <w:tcW w:type="dxa" w:w="2040"/>
          </w:tcPr>
          <w:p/>
        </w:tc>
      </w:tr>
      <w:tr>
        <w:tc>
          <w:tcPr>
            <w:tcW w:type="dxa" w:w="2040"/>
          </w:tcPr>
          <w:p>
            <w:r>
              <w:t>Summary Theme</w:t>
            </w:r>
          </w:p>
        </w:tc>
        <w:tc>
          <w:tcPr>
            <w:tcW w:type="dxa" w:w="2040"/>
          </w:tcPr>
          <w:p>
            <w:r>
              <w:t>Summary</w:t>
            </w:r>
          </w:p>
        </w:tc>
        <w:tc>
          <w:tcPr>
            <w:tcW w:type="dxa" w:w="2040"/>
          </w:tcPr>
          <w:p>
            <w:r>
              <w:t>N/A</w:t>
            </w:r>
          </w:p>
        </w:tc>
        <w:tc>
          <w:tcPr>
            <w:tcW w:type="dxa" w:w="2040"/>
          </w:tcPr>
          <w:p>
            <w:r>
              <w:t>So basically we have real time use cases for example customer are our website and we need to real time so they fill in some forms.</w:t>
            </w:r>
          </w:p>
        </w:tc>
        <w:tc>
          <w:tcPr>
            <w:tcW w:type="dxa" w:w="2040"/>
          </w:tcPr>
          <w:p/>
        </w:tc>
        <w:tc>
          <w:tcPr>
            <w:tcW w:type="dxa" w:w="2040"/>
          </w:tcPr>
          <w:p>
            <w:r>
              <w:t>202110191700-Reverse CDN-GuidePoint</w:t>
            </w: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04:02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