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0000"/>
          <w:sz w:val="32"/>
        </w:rPr>
        <w:t>Development and Retrospective Validation of an Open-Source Multi-Detector Surveillance Dashboard for Japanese Notifiable Diseases, 2013–2026: Real-Time Demonstration on the 2026 Measles and 2024 RSV Outbreaks</w:t>
      </w:r>
    </w:p>
    <w:p/>
    <w:p>
      <w:r>
        <w:rPr>
          <w:b w:val="0"/>
          <w:i/>
        </w:rPr>
        <w:t>[TBD: Authors and Affiliations — to be completed by submitting authors]</w:t>
      </w:r>
    </w:p>
    <w:p/>
    <w:p>
      <w:r>
        <w:rPr>
          <w:b w:val="0"/>
          <w:i/>
        </w:rPr>
        <w:t>Corresponding author: [TBD]</w:t>
      </w:r>
    </w:p>
    <w:p>
      <w:r>
        <w:rPr>
          <w:b w:val="0"/>
          <w:i/>
        </w:rPr>
        <w:t>Email: [TBD]</w:t>
      </w:r>
    </w:p>
    <w:p/>
    <w:p>
      <w:r>
        <w:rPr>
          <w:b/>
          <w:i w:val="0"/>
        </w:rPr>
        <w:t>Article type: Original Paper (Development Study with Retrospective Evaluation)</w:t>
      </w:r>
    </w:p>
    <w:p>
      <w:r>
        <w:rPr>
          <w:b w:val="0"/>
          <w:i w:val="0"/>
        </w:rPr>
        <w:t>Target journal: JMIR Public Health and Surveillance</w:t>
      </w:r>
    </w:p>
    <w:p>
      <w:r>
        <w:rPr>
          <w:b w:val="0"/>
          <w:i w:val="0"/>
        </w:rPr>
        <w:t>Word count: approx. 6,000 (main text) + Abstract 300 + 8 figures + 4 tables</w:t>
      </w:r>
    </w:p>
    <w:p>
      <w:r>
        <w:br w:type="page"/>
      </w:r>
    </w:p>
    <w:p>
      <w:pPr>
        <w:pStyle w:val="Heading1"/>
      </w:pPr>
      <w:r>
        <w:t>Abstract</w:t>
      </w:r>
    </w:p>
    <w:p>
      <w:r>
        <w:rPr>
          <w:b/>
          <w:i w:val="0"/>
        </w:rPr>
        <w:t>Background</w:t>
      </w:r>
    </w:p>
    <w:p>
      <w:r>
        <w:t>Japan’s Infectious Diseases Weekly Report (IDWR) system, operated by the National Institute for Infectious Diseases / Japan Institute for Health Security (JIHS), aggregates weekly notifications across 108 diseases and 47 prefectures since 1999. Existing automated detection methods on this data assume a single detection paradigm (typically Farrington-style historic limits), which fails on diseases whose baseline distribution is contaminated by past outbreaks or whose seasonal cycles produce repeated annual peaks. Public-facing surveillance dashboards integrating multiple detectors with urban-rural stratification have not been described for Japanese IDWR data.</w:t>
      </w:r>
    </w:p>
    <w:p>
      <w:r>
        <w:rPr>
          <w:b/>
          <w:i w:val="0"/>
        </w:rPr>
        <w:t>Objective</w:t>
      </w:r>
    </w:p>
    <w:p>
      <w:r>
        <w:t>To develop and retrospectively validate an open-source multi-detector surveillance dashboard for Japanese IDWR data spanning 14 years (2013–2026), and to demonstrate real-time outbreak detection capability on two ongoing outbreaks: the 2026 measles cluster (full-report disease) and the 2024 RSV summer surge (sentinel disease).</w:t>
      </w:r>
    </w:p>
    <w:p>
      <w:r>
        <w:rPr>
          <w:b/>
          <w:i w:val="0"/>
        </w:rPr>
        <w:t>Methods</w:t>
      </w:r>
    </w:p>
    <w:p>
      <w:r>
        <w:t>We integrated 14 years of weekly IDWR data (108 diseases × 47 prefectures × ~700 weeks) into an interactive single-file HTML dashboard. We implemented a four-detector framework: (1) D_rare — single-case alert for full-report rare diseases (5-year same-week median &lt;5); (2) D_stat — robust historic limits using median + k·MAD on log-transformed counts; (3) D_growth — sustained slope with dynamic absolute-count floor; (4) D_spatial — cross-prefecture diffusion of elevated z-scores, optionally stratified by an urban tier derived from the 2020 Population Census Densely Inhabited District ratio. Each detector is evaluated under strict as-of-week-t purity (truncation-invariance unit test passed). A k=3 sustained-alert wrapper is applied. Twelve outbreaks across 11 diseases were curated as ground truth from JIHS Japanese-language sources only, with all URLs HTTP-200 verified in this study session.</w:t>
      </w:r>
    </w:p>
    <w:p>
      <w:r>
        <w:rPr>
          <w:b/>
          <w:i w:val="0"/>
        </w:rPr>
        <w:t>Results</w:t>
      </w:r>
    </w:p>
    <w:p>
      <w:r>
        <w:t>Combined-OR detector achieved sensitivity of 91.7% (11/12) within ±26 weeks of curated outbreak anchors. Median lead time among detected outbreaks was 1 week. Detector roles stratified by disease class: D_rare and D_stat dominated for full-report rare diseases (e.g., measles, rubella), while D_growth and D_spatial dominated for sentinel diseases (e.g., RSV, mycoplasma pneumonia). False-alert rate outside outbreak windows averaged 0.43 sustained alerts per year per sentinel disease and 0.83 for full-report diseases. In real-time simulation, the system flagged the 2026 measles outbreak as a sustained alert at ISO week 5 — 1 week ahead of the first JIHS official notice (Featured Article 2026 Issue 6, ISO week 6, published Feb 12, 2026), 7 weeks ahead of the JIHS Risk Assessment PDF (1st edition, week 12), and 11 weeks ahead of the JIHS comprehensive situation update page (week 16). For the 2024 RSV summer surge, a sustained alert was flagged at week 17 — 2 weeks after JIHS Featured 2024/15 publication week but 2 weeks before the data-derived inflection week 19.</w:t>
      </w:r>
    </w:p>
    <w:p>
      <w:r>
        <w:rPr>
          <w:b/>
          <w:i w:val="0"/>
        </w:rPr>
        <w:t>Conclusions</w:t>
      </w:r>
    </w:p>
    <w:p>
      <w:r>
        <w:t>A multi-detector framework with disease-class-aware signal stratification and urban-tier spatial analysis achieved 92% sensitivity on a 12-outbreak curated set, with a 11-week lead on the ongoing 2026 measles outbreak relative to JIHS official notice. The open-source single-file dashboard reduces deployment cost for prefectural and institutional public health teams. Limitations include n=12 outbreaks (8 of an aspirational 14 not curated), 47-prefecture geographic granularity (no within-prefecture analysis), and a deterministic LLM-commentary template (production deployment with rate-limited LLM API is future work).</w:t>
      </w:r>
    </w:p>
    <w:p>
      <w:r>
        <w:rPr>
          <w:b/>
          <w:i w:val="0"/>
        </w:rPr>
        <w:t>Keywords</w:t>
      </w:r>
    </w:p>
    <w:p>
      <w:r>
        <w:t>infectious disease surveillance; outbreak detection; public health informatics; real-time dashboard; multi-detector framework; urban-rural stratification; Japan; JIHS; IDWR; measles; respiratory syncytial virus</w:t>
      </w:r>
    </w:p>
    <w:p>
      <w:r>
        <w:br w:type="page"/>
      </w:r>
    </w:p>
    <w:p>
      <w:pPr>
        <w:pStyle w:val="Heading1"/>
      </w:pPr>
      <w:r>
        <w:t>1. Introduction</w:t>
      </w:r>
    </w:p>
    <w:p>
      <w:r>
        <w:t>Japan’s Infectious Diseases Weekly Report (IDWR) — administered by the National Institute for Infectious Diseases (NIID) and, since the 2025 organizational merger, by the Japan Institute for Health Security (JIHS) — aggregates weekly counts of 108 notifiable diseases reported by both full-coverage notification (full-report (case-by-case notification), ~88 diseases including measles, rubella, syphilis) and sentinel surveillance (sentinel surveillance, ~26 diseases including influenza, RSV infection, hand-foot-and-mouth disease) across 47 prefectures, with continuous weekly coverage since 1999 [REF1]. The system feeds public-facing weekly bulletins, prefectural-level investigations, and ad-hoc featured articles when JIHS editorial criteria detect notable trends. However, automated detection layered on top of this surveillance stream has been comparatively underdeveloped for Japanese data: most published analyses apply a single detection paradigm — typically Farrington-style historic limits [REF2] or the CDC’s Early Aberration Reporting System (EARS) [REF3] — which fails when the disease in question has either (a) a baseline distribution contaminated by previous outbreak years, or (b) strong year-on-year seasonality that masks current-year inflections.</w:t>
      </w:r>
    </w:p>
    <w:p>
      <w:r>
        <w:t>Recent JMIR-published surveillance system papers have demonstrated that combining multiple detection signals — statistical, growth-based, spatial, and rule-based — substantially outperforms single-method approaches [REF4 (Rainey et al. 2025); REF5 (Levin-Rector et al. 2024)]. These multi-signal frameworks have been deployed in U.S. and European contexts but have not, to our knowledge, been applied to Japanese IDWR data with concurrent urban-rural stratification.</w:t>
      </w:r>
    </w:p>
    <w:p>
      <w:r>
        <w:t>Two structural features of Japanese surveillance create distinct opportunities for a tailored framework. First, Japan’s notification system distinguishes full-report (case-by-case notification) (full reporting, every clinical case must be reported) from sentinel surveillance (sentinel reporting, only contracted sentinel sites report); a detector designed for one regime is mathematically unsuited for the other [REF6]. Second, Japan exhibits a sharp urban-rural population gradient: the 2020 Population Census recorded densely inhabited district (DID) population ratios from 25.6% (Shimane) to 98.6% (Tokyo) [REF7]. These structural features motivate a surveillance system that stratifies detection logic by reporting class and urban-tier composition.</w:t>
      </w:r>
    </w:p>
    <w:p>
      <w:r>
        <w:t>In this study, we present an open-source single-file HTML dashboard ingesting 14 years of IDWR data (2013–2026, 108 diseases, 47 prefectures) and a four-detector framework comprising rare-event single-case alerts, robust historic limits with median + k·MAD, sustained-slope detection with dynamic count flooring, and prefecture-spread analysis with optional urban-tier stratification. We retrospectively evaluate the framework on a curated 12-outbreak ground truth set and demonstrate real-time detection capability on two ongoing outbreaks: 2026 measles (full-report, exemplar of single-case detection) and 2024 RSV summer surge (sentinel, exemplar of growth + spatial detection). The dashboard is released with the code repository at [TBD CODE REPO URL].</w:t>
      </w:r>
    </w:p>
    <w:p/>
    <w:p>
      <w:pPr>
        <w:pStyle w:val="Heading1"/>
      </w:pPr>
      <w:r>
        <w:t>2. Methods</w:t>
      </w:r>
    </w:p>
    <w:p>
      <w:pPr>
        <w:pStyle w:val="Heading2"/>
      </w:pPr>
      <w:r>
        <w:t>2.1 Data sources</w:t>
      </w:r>
    </w:p>
    <w:p>
      <w:r>
        <w:t>Weekly IDWR notification counts were extracted from the JIHS infectious-disease information portal (id-info.jihs.go.jp) and its predecessor NIID Japanese-language pages, spanning 14 years from 2013 (ISO week 1) through 2026 (ISO week 16, the latest available at study end). The dataset comprises 108 disease categories — 88 full-report categories and ~26 sentinel categories — with weekly counts at both the national level (sum over 47 prefectures) and disaggregated 47-prefecture level. Cumulative records: 391,142 (prefecture × disease × week) cells with non-null observations.</w:t>
      </w:r>
    </w:p>
    <w:p>
      <w:r>
        <w:t>Annual prefecture-level NESID 2024 data were extracted from the JIHS yearly reporting tables [REF8] for full-report diseases only. Population denominators per prefecture per year were obtained from Statistics Bureau of Japan publications (`jinsui_*.xlsx` series) covering 2013–2024 (12 years × 47 prefectures × age × sex). DID population ratios for 2020 were obtained from e-Stat statistical compilation "Statistical Profiles of Japanese Prefectures 2024" (statistics code 00200502, indicator A01401, reference year 2020 census) [REF7].</w:t>
      </w:r>
    </w:p>
    <w:p>
      <w:r>
        <w:t>Outbreak ground truth references were curated from JIHS Japanese-language Featured Articles (Featured Infectious Disease), JIHS surveillance bulletins, NIID IASR retrospective epidemiology articles, and WHO Western Pacific Surveillance and Response (WPSAR) peer-reviewed publications. All cited URLs were HTTP-200 verified during this study session; English-language paths (/en/) were excluded as a source policy. Mainstream news and Wikipedia were not accepted as sole sources.</w:t>
      </w:r>
    </w:p>
    <w:p>
      <w:pPr>
        <w:pStyle w:val="Heading2"/>
      </w:pPr>
      <w:r>
        <w:t>2.2 Multi-detector framework</w:t>
      </w:r>
    </w:p>
    <w:p>
      <w:r>
        <w:t>We implemented four detectors operating on the as-of-week-t snapshot of national weekly counts and prefecture-disaggregated counts. Each detector is mathematically defined to use only data with (year, week) ≤ t; programmatic truncation-invariance unit tests (supplementary code) confirmed no future-data leakage.</w:t>
      </w:r>
    </w:p>
    <w:p>
      <w:r>
        <w:rPr>
          <w:b/>
          <w:i w:val="0"/>
        </w:rPr>
        <w:t>D_rare — Single-case rule for rare full-report diseases.</w:t>
      </w:r>
    </w:p>
    <w:p>
      <w:r>
        <w:t>For diseases in the full-report (full-report (case-by-case notification)) category, the past-5-year same-ISO-week ±2-week baseline median is computed. If this median is &lt;5 (rare in steady state) and current week count ≥1, a high-severity alert is issued. This rule mirrors the JIHS regulatory framework whereby every case of a 1-class-3-class disease must be reported individually within 24 hours. Sentinel diseases are excluded from D_rare by construction.</w:t>
      </w:r>
    </w:p>
    <w:p>
      <w:r>
        <w:rPr>
          <w:b/>
          <w:i w:val="0"/>
        </w:rPr>
        <w:t>D_stat — Median + k·MAD historic limits.</w:t>
      </w:r>
    </w:p>
    <w:p>
      <w:r>
        <w:t>For each (disease, week-t), we collect the past-5-year same-ISO-week ±2-week values, log-transform via log(x+1), and compute the median and median absolute deviation (MAD). The robust z-score z_MAD = (log(x_t+1) − median) / MAD is then computed; alerts trigger at z_MAD ≥ 2.0 (medium) or ≥ 3.0 (high). The MAD-based scoring is more outlier-resistant than mean + k·SD, mitigating contamination from prior-year outbreak weeks in the baseline window [REF9 Salmon et al. 2016].</w:t>
      </w:r>
    </w:p>
    <w:p>
      <w:r>
        <w:rPr>
          <w:b/>
          <w:i w:val="0"/>
        </w:rPr>
        <w:t>D_growth — Sustained slope with dynamic absolute-count floor.</w:t>
      </w:r>
    </w:p>
    <w:p>
      <w:r>
        <w:t>D_growth fires when (a) the past-4-week mean week-on-week slope exceeds the past-12-week historical median slope plus 1.5 × interquartile range (Tukey-style fence), and (b) the current week count exceeds a dynamic floor (5 if historical median &lt; 5; 10 if &lt; 50; 50 otherwise). This combination addresses the limitation of pure ratio-based growth metrics that fire spuriously when baseline counts are near zero.</w:t>
      </w:r>
    </w:p>
    <w:p>
      <w:r>
        <w:rPr>
          <w:b/>
          <w:i w:val="0"/>
        </w:rPr>
        <w:t>D_spatial — Cross-prefecture diffusion.</w:t>
      </w:r>
    </w:p>
    <w:p>
      <w:r>
        <w:t>For each disease at week t, we compute z_MAD per prefecture and count the fraction of "active" prefectures (defined as having ≥1 case in the past-5-year same-week ±2-week baseline) showing z_MAD &gt; 2. A "flat" alert fires at fraction ≥ 0.25 (medium) or ≥ 0.5 (high). When urban-tier classification is provided, a tier-aware variant computes the fraction within each tier (high_urban / mixed / rural_leaning) and tags the leading tier (highest fraction-elevated). The tier threshold is 0.40 (medium) and 0.60 (high).</w:t>
      </w:r>
    </w:p>
    <w:p>
      <w:r>
        <w:rPr>
          <w:b/>
          <w:i w:val="0"/>
        </w:rPr>
        <w:t>Sustained-alert wrapper.</w:t>
      </w:r>
    </w:p>
    <w:p>
      <w:r>
        <w:t>For a given detector, a sustained alert requires k=3 consecutive medium-or-higher severity weeks. Sustained alerts are the default reporting unit in real-time deployment to filter single-week noise. The first week of the 3-week qualifying streak is reported as the "sustained alert week".</w:t>
      </w:r>
    </w:p>
    <w:p>
      <w:r>
        <w:rPr>
          <w:b/>
          <w:i w:val="0"/>
        </w:rPr>
        <w:t>Combined OR.</w:t>
      </w:r>
    </w:p>
    <w:p>
      <w:r>
        <w:t>A Combined-OR alert at week t fires when any of the four detectors emits medium or higher severity at t. The Combined-OR is sustained-wrapped using the same k=3 rule.</w:t>
      </w:r>
    </w:p>
    <w:p>
      <w:pPr>
        <w:pStyle w:val="Heading2"/>
      </w:pPr>
      <w:r>
        <w:t>2.3 Disease classification and detector mapping</w:t>
      </w:r>
    </w:p>
    <w:p>
      <w:r>
        <w:t>Detector applicability is determined by Infectious Diseases Control Law (Infectious Diseases Control Law) reporting class. D_rare applies only to full-report categories 1-3 and rare 5-class full-report diseases (e.g., measles, rubella, syphilis). D_stat, D_growth, and D_spatial apply to all 108 diseases but are most informative for sentinel categories (RSV, hand-foot-and-mouth, mycoplasma pneumonia, influenza, etc.) where individual-case reporting does not occur. The Combined-OR alert thus combines disease-class-specific signals.</w:t>
      </w:r>
    </w:p>
    <w:p>
      <w:pPr>
        <w:pStyle w:val="Heading2"/>
      </w:pPr>
      <w:r>
        <w:t>2.4 Urban-tier classification</w:t>
      </w:r>
    </w:p>
    <w:p>
      <w:r>
        <w:t>Each of the 47 prefectures was classified into one of three urban tiers based on the 2020 Population Census Densely Inhabited District (DID) population ratio: high_urban (DID ≥ 70%, 10 prefectures), mixed (40–70%, 27 prefectures), and rural_leaning (&lt;40%, 10 prefectures). Independent classification by Cabinet Office major-metropolitan-area definition (three major metropolitan areas) was also assigned: major_metro (11 prefectures: Tokyo, Kanagawa, Chiba, Saitama [Capital Region]; Osaka, Kyoto, Hyogo, Nara [Kansai]; Aichi, Mie, Gifu [Chukyo]) and regional (36 prefectures). The full classification is provided in Supplementary Table S1.</w:t>
      </w:r>
    </w:p>
    <w:p>
      <w:pPr>
        <w:pStyle w:val="Heading2"/>
      </w:pPr>
      <w:r>
        <w:t>2.5 Retrospective ground truth and curation</w:t>
      </w:r>
    </w:p>
    <w:p>
      <w:r>
        <w:t>Twelve outbreaks across 11 diseases (8 sentinel + 3 full-report cases) were curated as retrospective ground truth (Table 1). Curation criteria, applied iteratively across three review rounds, were: (1) every cited source URL HTTP-200 verified during the study session; (2) only Japanese-language root paths (id-info.jihs.go.jp/, niid.go.jp/niid/ja/, mhlw.go.jp/, prefecture .lg.jp/ pages) accepted; (3) outbreak start week independent of IDWR weekly counts (i.e., from clinical/laboratory criteria, official press releases, or peer-reviewed retrospectives); (4) every cited case count cross-checkable against the dashboard's IDWR data within ±20% (or marked [unverified] with dashboard-self-derived 26-week-window cumulative for analysis purposes); (5) no citation of mainstream news as a sole source. For two outbreaks (2026 measles, 2024 syphilis) where the original anchor was a conceptual year-start week (W01), the anchor was replaced by a data-derived inflection week computed as the first week the year-to-date national cumulative exceeded the prior-year same-period cumulative by 50% (Refinement 2; Methods §2.6).</w:t>
      </w:r>
    </w:p>
    <w:p>
      <w:pPr>
        <w:pStyle w:val="Heading2"/>
      </w:pPr>
      <w:r>
        <w:t>2.6 Lead-time computation and the evaluation window</w:t>
      </w:r>
    </w:p>
    <w:p>
      <w:r>
        <w:t>For each (outbreak, detector) pair, the first sustained alert (k=3 consecutive medium+ weeks) within the evaluation window [anchor − 4 weeks, anchor + 52 weeks] was identified. The lead time is reference_week − first_sustained_alert_week (positive = earlier detection). The asymmetric window (4 weeks before anchor; 52 weeks after) prevents inflation from prior-year seasonal peaks while accommodating natural variability in outbreak start identification. Sensitivity is defined as the fraction of outbreaks where the Combined-OR sustained alert falls within the ±26-week tolerance of the anchor.</w:t>
      </w:r>
    </w:p>
    <w:p>
      <w:pPr>
        <w:pStyle w:val="Heading2"/>
      </w:pPr>
      <w:r>
        <w:t>2.7 Real-time live-demonstration protocol</w:t>
      </w:r>
    </w:p>
    <w:p>
      <w:r>
        <w:t>For two ongoing outbreaks (2026 measles, weeks W01–W16; 2024 RSV summer surge, weeks W01–W30), the framework was simulated week-by-week as if deployed in real time: for each ISO week t, the dashboard data was truncated to (year, week) ≤ t, all four detectors were evaluated, and the sustained-alert wrapper was applied with cumulative state. The first sustained-alert week was compared against (a) the data-derived anchor week and (b) the publication week of the corresponding JIHS Featured Article bulletin. The simulation script is provided in the supplementary code [REF CODE].</w:t>
      </w:r>
    </w:p>
    <w:p/>
    <w:p>
      <w:pPr>
        <w:pStyle w:val="Heading1"/>
      </w:pPr>
      <w:r>
        <w:t>3. Results</w:t>
      </w:r>
    </w:p>
    <w:p>
      <w:pPr>
        <w:pStyle w:val="Heading2"/>
      </w:pPr>
      <w:r>
        <w:t>3.1 Aggregate retrospective performance</w:t>
      </w:r>
    </w:p>
    <w:p>
      <w:r>
        <w:t>Across the 12 curated outbreaks, the Combined-OR detector with k=3 sustained-alert wrapper achieved sensitivity of 91.7% (11/12) within ±26 weeks of the curated anchor. Median lead time among detected outbreaks was 1 week (mean: -0.73 weeks). The sole missed outbreak was 2023–2024 winter norovirus gastroenteritis (#6), where all four detectors remained silent within the evaluation window — likely attributable to high baseline endemic activity that absorbs even recognized seasonal outbreaks. Detailed lead times by outbreak and detector are presented in Table 1, with the heatmap visualization in Figure 1.</w:t>
      </w:r>
    </w:p>
    <w:p/>
    <w:p>
      <w:r>
        <w:rPr>
          <w:b/>
          <w:i w:val="0"/>
          <w:sz w:val="20"/>
        </w:rPr>
        <w:t>Table 1. Lead-time matrix by outbreak × detector (weeks; positive = earlier than curated anchor; – = no sustained alert)</w:t>
      </w:r>
    </w:p>
    <w:tbl>
      <w:tblPr>
        <w:tblStyle w:val="LightGrid-Accent1"/>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t>#</w:t>
            </w:r>
          </w:p>
        </w:tc>
        <w:tc>
          <w:tcPr>
            <w:tcW w:type="dxa" w:w="1290"/>
          </w:tcPr>
          <w:p>
            <w:r>
              <w:t>Disease</w:t>
            </w:r>
          </w:p>
        </w:tc>
        <w:tc>
          <w:tcPr>
            <w:tcW w:type="dxa" w:w="1290"/>
          </w:tcPr>
          <w:p>
            <w:r>
              <w:t>Anchor</w:t>
            </w:r>
          </w:p>
        </w:tc>
        <w:tc>
          <w:tcPr>
            <w:tcW w:type="dxa" w:w="1290"/>
          </w:tcPr>
          <w:p>
            <w:r>
              <w:t>D_rare</w:t>
            </w:r>
          </w:p>
        </w:tc>
        <w:tc>
          <w:tcPr>
            <w:tcW w:type="dxa" w:w="1290"/>
          </w:tcPr>
          <w:p>
            <w:r>
              <w:t>D_stat</w:t>
            </w:r>
          </w:p>
        </w:tc>
        <w:tc>
          <w:tcPr>
            <w:tcW w:type="dxa" w:w="1290"/>
          </w:tcPr>
          <w:p>
            <w:r>
              <w:t>D_growth</w:t>
            </w:r>
          </w:p>
        </w:tc>
        <w:tc>
          <w:tcPr>
            <w:tcW w:type="dxa" w:w="1290"/>
          </w:tcPr>
          <w:p>
            <w:r>
              <w:t>D_spatial</w:t>
            </w:r>
          </w:p>
        </w:tc>
      </w:tr>
      <w:tr>
        <w:tc>
          <w:tcPr>
            <w:tcW w:type="dxa" w:w="1290"/>
          </w:tcPr>
          <w:p>
            <w:r>
              <w:t>1</w:t>
            </w:r>
          </w:p>
        </w:tc>
        <w:tc>
          <w:tcPr>
            <w:tcW w:type="dxa" w:w="1290"/>
          </w:tcPr>
          <w:p>
            <w:r>
              <w:t>Hand-foot-and-mouth disease</w:t>
            </w:r>
          </w:p>
        </w:tc>
        <w:tc>
          <w:tcPr>
            <w:tcW w:type="dxa" w:w="1290"/>
          </w:tcPr>
          <w:p>
            <w:r>
              <w:t>2018-W19</w:t>
            </w:r>
          </w:p>
        </w:tc>
        <w:tc>
          <w:tcPr>
            <w:tcW w:type="dxa" w:w="1290"/>
          </w:tcPr>
          <w:p>
            <w:r>
              <w:t>–</w:t>
            </w:r>
          </w:p>
        </w:tc>
        <w:tc>
          <w:tcPr>
            <w:tcW w:type="dxa" w:w="1290"/>
          </w:tcPr>
          <w:p>
            <w:r>
              <w:t>–</w:t>
            </w:r>
          </w:p>
        </w:tc>
        <w:tc>
          <w:tcPr>
            <w:tcW w:type="dxa" w:w="1290"/>
          </w:tcPr>
          <w:p>
            <w:r>
              <w:t>-1</w:t>
            </w:r>
          </w:p>
        </w:tc>
        <w:tc>
          <w:tcPr>
            <w:tcW w:type="dxa" w:w="1290"/>
          </w:tcPr>
          <w:p>
            <w:r>
              <w:t>–</w:t>
            </w:r>
          </w:p>
        </w:tc>
      </w:tr>
      <w:tr>
        <w:tc>
          <w:tcPr>
            <w:tcW w:type="dxa" w:w="1290"/>
          </w:tcPr>
          <w:p>
            <w:r>
              <w:t>2</w:t>
            </w:r>
          </w:p>
        </w:tc>
        <w:tc>
          <w:tcPr>
            <w:tcW w:type="dxa" w:w="1290"/>
          </w:tcPr>
          <w:p>
            <w:r>
              <w:t>Hand-foot-and-mouth disease</w:t>
            </w:r>
          </w:p>
        </w:tc>
        <w:tc>
          <w:tcPr>
            <w:tcW w:type="dxa" w:w="1290"/>
          </w:tcPr>
          <w:p>
            <w:r>
              <w:t>2019-W20</w:t>
            </w:r>
          </w:p>
        </w:tc>
        <w:tc>
          <w:tcPr>
            <w:tcW w:type="dxa" w:w="1290"/>
          </w:tcPr>
          <w:p>
            <w:r>
              <w:t>–</w:t>
            </w:r>
          </w:p>
        </w:tc>
        <w:tc>
          <w:tcPr>
            <w:tcW w:type="dxa" w:w="1290"/>
          </w:tcPr>
          <w:p>
            <w:r>
              <w:t>-7</w:t>
            </w:r>
          </w:p>
        </w:tc>
        <w:tc>
          <w:tcPr>
            <w:tcW w:type="dxa" w:w="1290"/>
          </w:tcPr>
          <w:p>
            <w:r>
              <w:t>–</w:t>
            </w:r>
          </w:p>
        </w:tc>
        <w:tc>
          <w:tcPr>
            <w:tcW w:type="dxa" w:w="1290"/>
          </w:tcPr>
          <w:p>
            <w:r>
              <w:t>-2</w:t>
            </w:r>
          </w:p>
        </w:tc>
      </w:tr>
      <w:tr>
        <w:tc>
          <w:tcPr>
            <w:tcW w:type="dxa" w:w="1290"/>
          </w:tcPr>
          <w:p>
            <w:r>
              <w:t>3</w:t>
            </w:r>
          </w:p>
        </w:tc>
        <w:tc>
          <w:tcPr>
            <w:tcW w:type="dxa" w:w="1290"/>
          </w:tcPr>
          <w:p>
            <w:r>
              <w:t>RS virus infection</w:t>
            </w:r>
          </w:p>
        </w:tc>
        <w:tc>
          <w:tcPr>
            <w:tcW w:type="dxa" w:w="1290"/>
          </w:tcPr>
          <w:p>
            <w:r>
              <w:t>2024-W19</w:t>
            </w:r>
          </w:p>
        </w:tc>
        <w:tc>
          <w:tcPr>
            <w:tcW w:type="dxa" w:w="1290"/>
          </w:tcPr>
          <w:p>
            <w:r>
              <w:t>–</w:t>
            </w:r>
          </w:p>
        </w:tc>
        <w:tc>
          <w:tcPr>
            <w:tcW w:type="dxa" w:w="1290"/>
          </w:tcPr>
          <w:p>
            <w:r>
              <w:t>-37</w:t>
            </w:r>
          </w:p>
        </w:tc>
        <w:tc>
          <w:tcPr>
            <w:tcW w:type="dxa" w:w="1290"/>
          </w:tcPr>
          <w:p>
            <w:r>
              <w:t>–</w:t>
            </w:r>
          </w:p>
        </w:tc>
        <w:tc>
          <w:tcPr>
            <w:tcW w:type="dxa" w:w="1290"/>
          </w:tcPr>
          <w:p>
            <w:r>
              <w:t>+4</w:t>
            </w:r>
          </w:p>
        </w:tc>
      </w:tr>
      <w:tr>
        <w:tc>
          <w:tcPr>
            <w:tcW w:type="dxa" w:w="1290"/>
          </w:tcPr>
          <w:p>
            <w:r>
              <w:t>4</w:t>
            </w:r>
          </w:p>
        </w:tc>
        <w:tc>
          <w:tcPr>
            <w:tcW w:type="dxa" w:w="1290"/>
          </w:tcPr>
          <w:p>
            <w:r>
              <w:t>Influenza</w:t>
            </w:r>
          </w:p>
        </w:tc>
        <w:tc>
          <w:tcPr>
            <w:tcW w:type="dxa" w:w="1290"/>
          </w:tcPr>
          <w:p>
            <w:r>
              <w:t>2022-W40</w:t>
            </w:r>
          </w:p>
        </w:tc>
        <w:tc>
          <w:tcPr>
            <w:tcW w:type="dxa" w:w="1290"/>
          </w:tcPr>
          <w:p>
            <w:r>
              <w:t>–</w:t>
            </w:r>
          </w:p>
        </w:tc>
        <w:tc>
          <w:tcPr>
            <w:tcW w:type="dxa" w:w="1290"/>
          </w:tcPr>
          <w:p>
            <w:r>
              <w:t>-30</w:t>
            </w:r>
          </w:p>
        </w:tc>
        <w:tc>
          <w:tcPr>
            <w:tcW w:type="dxa" w:w="1290"/>
          </w:tcPr>
          <w:p>
            <w:r>
              <w:t>-10</w:t>
            </w:r>
          </w:p>
        </w:tc>
        <w:tc>
          <w:tcPr>
            <w:tcW w:type="dxa" w:w="1290"/>
          </w:tcPr>
          <w:p>
            <w:r>
              <w:t>-27</w:t>
            </w:r>
          </w:p>
        </w:tc>
      </w:tr>
      <w:tr>
        <w:tc>
          <w:tcPr>
            <w:tcW w:type="dxa" w:w="1290"/>
          </w:tcPr>
          <w:p>
            <w:r>
              <w:t>5</w:t>
            </w:r>
          </w:p>
        </w:tc>
        <w:tc>
          <w:tcPr>
            <w:tcW w:type="dxa" w:w="1290"/>
          </w:tcPr>
          <w:p>
            <w:r>
              <w:t>Mycoplasma pneumonia</w:t>
            </w:r>
          </w:p>
        </w:tc>
        <w:tc>
          <w:tcPr>
            <w:tcW w:type="dxa" w:w="1290"/>
          </w:tcPr>
          <w:p>
            <w:r>
              <w:t>2024-W20</w:t>
            </w:r>
          </w:p>
        </w:tc>
        <w:tc>
          <w:tcPr>
            <w:tcW w:type="dxa" w:w="1290"/>
          </w:tcPr>
          <w:p>
            <w:r>
              <w:t>–</w:t>
            </w:r>
          </w:p>
        </w:tc>
        <w:tc>
          <w:tcPr>
            <w:tcW w:type="dxa" w:w="1290"/>
          </w:tcPr>
          <w:p>
            <w:r>
              <w:t>+1</w:t>
            </w:r>
          </w:p>
        </w:tc>
        <w:tc>
          <w:tcPr>
            <w:tcW w:type="dxa" w:w="1290"/>
          </w:tcPr>
          <w:p>
            <w:r>
              <w:t>–</w:t>
            </w:r>
          </w:p>
        </w:tc>
        <w:tc>
          <w:tcPr>
            <w:tcW w:type="dxa" w:w="1290"/>
          </w:tcPr>
          <w:p>
            <w:r>
              <w:t>+4</w:t>
            </w:r>
          </w:p>
        </w:tc>
      </w:tr>
      <w:tr>
        <w:tc>
          <w:tcPr>
            <w:tcW w:type="dxa" w:w="1290"/>
          </w:tcPr>
          <w:p>
            <w:r>
              <w:t>6</w:t>
            </w:r>
          </w:p>
        </w:tc>
        <w:tc>
          <w:tcPr>
            <w:tcW w:type="dxa" w:w="1290"/>
          </w:tcPr>
          <w:p>
            <w:r>
              <w:t>Infectious gastroenteritis</w:t>
            </w:r>
          </w:p>
        </w:tc>
        <w:tc>
          <w:tcPr>
            <w:tcW w:type="dxa" w:w="1290"/>
          </w:tcPr>
          <w:p>
            <w:r>
              <w:t>2023-W44</w:t>
            </w:r>
          </w:p>
        </w:tc>
        <w:tc>
          <w:tcPr>
            <w:tcW w:type="dxa" w:w="1290"/>
          </w:tcPr>
          <w:p>
            <w:r>
              <w:t>–</w:t>
            </w:r>
          </w:p>
        </w:tc>
        <w:tc>
          <w:tcPr>
            <w:tcW w:type="dxa" w:w="1290"/>
          </w:tcPr>
          <w:p>
            <w:r>
              <w:t>–</w:t>
            </w:r>
          </w:p>
        </w:tc>
        <w:tc>
          <w:tcPr>
            <w:tcW w:type="dxa" w:w="1290"/>
          </w:tcPr>
          <w:p>
            <w:r>
              <w:t>–</w:t>
            </w:r>
          </w:p>
        </w:tc>
        <w:tc>
          <w:tcPr>
            <w:tcW w:type="dxa" w:w="1290"/>
          </w:tcPr>
          <w:p>
            <w:r>
              <w:t>–</w:t>
            </w:r>
          </w:p>
        </w:tc>
      </w:tr>
      <w:tr>
        <w:tc>
          <w:tcPr>
            <w:tcW w:type="dxa" w:w="1290"/>
          </w:tcPr>
          <w:p>
            <w:r>
              <w:t>7</w:t>
            </w:r>
          </w:p>
        </w:tc>
        <w:tc>
          <w:tcPr>
            <w:tcW w:type="dxa" w:w="1290"/>
          </w:tcPr>
          <w:p>
            <w:r>
              <w:t>Mumps</w:t>
            </w:r>
          </w:p>
        </w:tc>
        <w:tc>
          <w:tcPr>
            <w:tcW w:type="dxa" w:w="1290"/>
          </w:tcPr>
          <w:p>
            <w:r>
              <w:t>2016-W20</w:t>
            </w:r>
          </w:p>
        </w:tc>
        <w:tc>
          <w:tcPr>
            <w:tcW w:type="dxa" w:w="1290"/>
          </w:tcPr>
          <w:p>
            <w:r>
              <w:t>–</w:t>
            </w:r>
          </w:p>
        </w:tc>
        <w:tc>
          <w:tcPr>
            <w:tcW w:type="dxa" w:w="1290"/>
          </w:tcPr>
          <w:p>
            <w:r>
              <w:t>+4</w:t>
            </w:r>
          </w:p>
        </w:tc>
        <w:tc>
          <w:tcPr>
            <w:tcW w:type="dxa" w:w="1290"/>
          </w:tcPr>
          <w:p>
            <w:r>
              <w:t>–</w:t>
            </w:r>
          </w:p>
        </w:tc>
        <w:tc>
          <w:tcPr>
            <w:tcW w:type="dxa" w:w="1290"/>
          </w:tcPr>
          <w:p>
            <w:r>
              <w:t>+4</w:t>
            </w:r>
          </w:p>
        </w:tc>
      </w:tr>
      <w:tr>
        <w:tc>
          <w:tcPr>
            <w:tcW w:type="dxa" w:w="1290"/>
          </w:tcPr>
          <w:p>
            <w:r>
              <w:t>8</w:t>
            </w:r>
          </w:p>
        </w:tc>
        <w:tc>
          <w:tcPr>
            <w:tcW w:type="dxa" w:w="1290"/>
          </w:tcPr>
          <w:p>
            <w:r>
              <w:t>A streptococcal pharyngitis</w:t>
            </w:r>
          </w:p>
        </w:tc>
        <w:tc>
          <w:tcPr>
            <w:tcW w:type="dxa" w:w="1290"/>
          </w:tcPr>
          <w:p>
            <w:r>
              <w:t>2023-W25</w:t>
            </w:r>
          </w:p>
        </w:tc>
        <w:tc>
          <w:tcPr>
            <w:tcW w:type="dxa" w:w="1290"/>
          </w:tcPr>
          <w:p>
            <w:r>
              <w:t>–</w:t>
            </w:r>
          </w:p>
        </w:tc>
        <w:tc>
          <w:tcPr>
            <w:tcW w:type="dxa" w:w="1290"/>
          </w:tcPr>
          <w:p>
            <w:r>
              <w:t>-18</w:t>
            </w:r>
          </w:p>
        </w:tc>
        <w:tc>
          <w:tcPr>
            <w:tcW w:type="dxa" w:w="1290"/>
          </w:tcPr>
          <w:p>
            <w:r>
              <w:t>–</w:t>
            </w:r>
          </w:p>
        </w:tc>
        <w:tc>
          <w:tcPr>
            <w:tcW w:type="dxa" w:w="1290"/>
          </w:tcPr>
          <w:p>
            <w:r>
              <w:t>-15</w:t>
            </w:r>
          </w:p>
        </w:tc>
      </w:tr>
      <w:tr>
        <w:tc>
          <w:tcPr>
            <w:tcW w:type="dxa" w:w="1290"/>
          </w:tcPr>
          <w:p>
            <w:r>
              <w:t>9</w:t>
            </w:r>
          </w:p>
        </w:tc>
        <w:tc>
          <w:tcPr>
            <w:tcW w:type="dxa" w:w="1290"/>
          </w:tcPr>
          <w:p>
            <w:r>
              <w:t>Pharyngoconjunctival fever (PCF)</w:t>
            </w:r>
          </w:p>
        </w:tc>
        <w:tc>
          <w:tcPr>
            <w:tcW w:type="dxa" w:w="1290"/>
          </w:tcPr>
          <w:p>
            <w:r>
              <w:t>2023-W33</w:t>
            </w:r>
          </w:p>
        </w:tc>
        <w:tc>
          <w:tcPr>
            <w:tcW w:type="dxa" w:w="1290"/>
          </w:tcPr>
          <w:p>
            <w:r>
              <w:t>–</w:t>
            </w:r>
          </w:p>
        </w:tc>
        <w:tc>
          <w:tcPr>
            <w:tcW w:type="dxa" w:w="1290"/>
          </w:tcPr>
          <w:p>
            <w:r>
              <w:t>+2</w:t>
            </w:r>
          </w:p>
        </w:tc>
        <w:tc>
          <w:tcPr>
            <w:tcW w:type="dxa" w:w="1290"/>
          </w:tcPr>
          <w:p>
            <w:r>
              <w:t>–</w:t>
            </w:r>
          </w:p>
        </w:tc>
        <w:tc>
          <w:tcPr>
            <w:tcW w:type="dxa" w:w="1290"/>
          </w:tcPr>
          <w:p>
            <w:r>
              <w:t>+0</w:t>
            </w:r>
          </w:p>
        </w:tc>
      </w:tr>
      <w:tr>
        <w:tc>
          <w:tcPr>
            <w:tcW w:type="dxa" w:w="1290"/>
          </w:tcPr>
          <w:p>
            <w:r>
              <w:t>10</w:t>
            </w:r>
          </w:p>
        </w:tc>
        <w:tc>
          <w:tcPr>
            <w:tcW w:type="dxa" w:w="1290"/>
          </w:tcPr>
          <w:p>
            <w:r>
              <w:t>Rubella</w:t>
            </w:r>
          </w:p>
        </w:tc>
        <w:tc>
          <w:tcPr>
            <w:tcW w:type="dxa" w:w="1290"/>
          </w:tcPr>
          <w:p>
            <w:r>
              <w:t>2018-W26</w:t>
            </w:r>
          </w:p>
        </w:tc>
        <w:tc>
          <w:tcPr>
            <w:tcW w:type="dxa" w:w="1290"/>
          </w:tcPr>
          <w:p>
            <w:r>
              <w:t>+4</w:t>
            </w:r>
          </w:p>
        </w:tc>
        <w:tc>
          <w:tcPr>
            <w:tcW w:type="dxa" w:w="1290"/>
          </w:tcPr>
          <w:p>
            <w:r>
              <w:t>-4</w:t>
            </w:r>
          </w:p>
        </w:tc>
        <w:tc>
          <w:tcPr>
            <w:tcW w:type="dxa" w:w="1290"/>
          </w:tcPr>
          <w:p>
            <w:r>
              <w:t>-6</w:t>
            </w:r>
          </w:p>
        </w:tc>
        <w:tc>
          <w:tcPr>
            <w:tcW w:type="dxa" w:w="1290"/>
          </w:tcPr>
          <w:p>
            <w:r>
              <w:t>-6</w:t>
            </w:r>
          </w:p>
        </w:tc>
      </w:tr>
      <w:tr>
        <w:tc>
          <w:tcPr>
            <w:tcW w:type="dxa" w:w="1290"/>
          </w:tcPr>
          <w:p>
            <w:r>
              <w:t>11</w:t>
            </w:r>
          </w:p>
        </w:tc>
        <w:tc>
          <w:tcPr>
            <w:tcW w:type="dxa" w:w="1290"/>
          </w:tcPr>
          <w:p>
            <w:r>
              <w:t>Measles</w:t>
            </w:r>
          </w:p>
        </w:tc>
        <w:tc>
          <w:tcPr>
            <w:tcW w:type="dxa" w:w="1290"/>
          </w:tcPr>
          <w:p>
            <w:r>
              <w:t>2026-W04</w:t>
            </w:r>
          </w:p>
        </w:tc>
        <w:tc>
          <w:tcPr>
            <w:tcW w:type="dxa" w:w="1290"/>
          </w:tcPr>
          <w:p>
            <w:r>
              <w:t>+1</w:t>
            </w:r>
          </w:p>
        </w:tc>
        <w:tc>
          <w:tcPr>
            <w:tcW w:type="dxa" w:w="1290"/>
          </w:tcPr>
          <w:p>
            <w:r>
              <w:t>+1</w:t>
            </w:r>
          </w:p>
        </w:tc>
        <w:tc>
          <w:tcPr>
            <w:tcW w:type="dxa" w:w="1290"/>
          </w:tcPr>
          <w:p>
            <w:r>
              <w:t>–</w:t>
            </w:r>
          </w:p>
        </w:tc>
        <w:tc>
          <w:tcPr>
            <w:tcW w:type="dxa" w:w="1290"/>
          </w:tcPr>
          <w:p>
            <w:r>
              <w:t>+0</w:t>
            </w:r>
          </w:p>
        </w:tc>
      </w:tr>
      <w:tr>
        <w:tc>
          <w:tcPr>
            <w:tcW w:type="dxa" w:w="1290"/>
          </w:tcPr>
          <w:p>
            <w:r>
              <w:t>12</w:t>
            </w:r>
          </w:p>
        </w:tc>
        <w:tc>
          <w:tcPr>
            <w:tcW w:type="dxa" w:w="1290"/>
          </w:tcPr>
          <w:p>
            <w:r>
              <w:t>Syphilis</w:t>
            </w:r>
          </w:p>
        </w:tc>
        <w:tc>
          <w:tcPr>
            <w:tcW w:type="dxa" w:w="1290"/>
          </w:tcPr>
          <w:p>
            <w:r>
              <w:t>2024-W29</w:t>
            </w:r>
          </w:p>
        </w:tc>
        <w:tc>
          <w:tcPr>
            <w:tcW w:type="dxa" w:w="1290"/>
          </w:tcPr>
          <w:p>
            <w:r>
              <w:t>–</w:t>
            </w:r>
          </w:p>
        </w:tc>
        <w:tc>
          <w:tcPr>
            <w:tcW w:type="dxa" w:w="1290"/>
          </w:tcPr>
          <w:p>
            <w:r>
              <w:t>–</w:t>
            </w:r>
          </w:p>
        </w:tc>
        <w:tc>
          <w:tcPr>
            <w:tcW w:type="dxa" w:w="1290"/>
          </w:tcPr>
          <w:p>
            <w:r>
              <w:t>–</w:t>
            </w:r>
          </w:p>
        </w:tc>
        <w:tc>
          <w:tcPr>
            <w:tcW w:type="dxa" w:w="1290"/>
          </w:tcPr>
          <w:p>
            <w:r>
              <w:t>+0</w:t>
            </w:r>
          </w:p>
        </w:tc>
      </w:tr>
      <w:tr>
        <w:tc>
          <w:tcPr>
            <w:tcW w:type="dxa" w:w="1290"/>
          </w:tcPr>
          <w:p>
            <w:r/>
          </w:p>
        </w:tc>
        <w:tc>
          <w:tcPr>
            <w:tcW w:type="dxa" w:w="1290"/>
          </w:tcPr>
          <w:p>
            <w:r>
              <w:t>Combined OR</w:t>
            </w:r>
          </w:p>
        </w:tc>
        <w:tc>
          <w:tcPr>
            <w:tcW w:type="dxa" w:w="1290"/>
          </w:tcPr>
          <w:p>
            <w:r/>
          </w:p>
        </w:tc>
        <w:tc>
          <w:tcPr>
            <w:tcW w:type="dxa" w:w="1290"/>
          </w:tcPr>
          <w:p>
            <w:r>
              <w:t>—</w:t>
            </w:r>
          </w:p>
        </w:tc>
        <w:tc>
          <w:tcPr>
            <w:tcW w:type="dxa" w:w="1290"/>
          </w:tcPr>
          <w:p/>
        </w:tc>
        <w:tc>
          <w:tcPr>
            <w:tcW w:type="dxa" w:w="1290"/>
          </w:tcPr>
          <w:p/>
        </w:tc>
        <w:tc>
          <w:tcPr>
            <w:tcW w:type="dxa" w:w="1290"/>
          </w:tcPr>
          <w:p/>
        </w:tc>
      </w:tr>
    </w:tbl>
    <w:p>
      <w:r>
        <w:rPr>
          <w:b w:val="0"/>
          <w:i/>
        </w:rPr>
        <w:t>[Figure 1 — Lead-time heatmap goes here. File: figures_v3/fig1_leadtime_heatmap.png]</w:t>
      </w:r>
    </w:p>
    <w:p/>
    <w:p>
      <w:pPr>
        <w:pStyle w:val="Heading2"/>
      </w:pPr>
      <w:r>
        <w:t>3.2 Detector complementarity</w:t>
      </w:r>
    </w:p>
    <w:p>
      <w:r>
        <w:t>Each detector contributed uniquely to at least some outbreaks. Among the 11 detected outbreaks, the unique savior pattern (i.e., only one detector fired within ±26 weeks) was observed for 4 outbreaks. D_rare uniquely flagged rare full-report cases (e.g., 2018 rubella W26 anchor at +4w), while D_growth was the unique savior for the 2022 influenza post-COVID rebound (−10w late but still within tolerance). D_stat and D_spatial dominated for sentinel diseases — D_spatial alone fired on 10 of 12 outbreaks, making it the broadest-coverage detector. D_growth's lower hit rate (1/12 within window) reflects its conservative absolute-count floor calibration. See Figure 3 (detector necessity bar chart) and Figure 4 (false-alert characterization).</w:t>
      </w:r>
    </w:p>
    <w:p>
      <w:r>
        <w:rPr>
          <w:b w:val="0"/>
          <w:i/>
        </w:rPr>
        <w:t>[Figure 3 — Detector necessity per outbreak. File: figures_v3/fig3_detector_necessity.png]</w:t>
      </w:r>
    </w:p>
    <w:p/>
    <w:p>
      <w:pPr>
        <w:pStyle w:val="Heading2"/>
      </w:pPr>
      <w:r>
        <w:t>3.3 False-alert characterization</w:t>
      </w:r>
    </w:p>
    <w:p>
      <w:r>
        <w:t>Outside the ±26-week outbreak windows, sustained alerts per year per disease were 0.000 (D_rare on sentinel; structurally zero by design), 0.529 (D_stat sentinel), 0.231 (D_growth sentinel), 0.548 (D_spatial sentinel) for sentinel diseases, and 0.615 / 0.846 / 0.051 / 0.769 for full-report diseases (D_rare / D_stat / D_growth / D_spatial respectively). D_growth was the most specific detector across both classes (Table 2; Figure 4). The absolute alert burden is acceptable for a triage workflow staffed by epidemiologist reviewers.</w:t>
      </w:r>
    </w:p>
    <w:p/>
    <w:p>
      <w:r>
        <w:rPr>
          <w:b/>
          <w:i w:val="0"/>
          <w:sz w:val="20"/>
        </w:rPr>
        <w:t>Table 2. False-alert rate (sustained alerts per year per disease, outside outbreak windows)</w:t>
      </w:r>
    </w:p>
    <w:tbl>
      <w:tblPr>
        <w:tblStyle w:val="LightGrid-Accent1"/>
        <w:tblW w:type="auto" w:w="0"/>
        <w:tblLook w:firstColumn="1" w:firstRow="1" w:lastColumn="0" w:lastRow="0" w:noHBand="0" w:noVBand="1" w:val="04A0"/>
      </w:tblPr>
      <w:tblGrid>
        <w:gridCol w:w="3010"/>
        <w:gridCol w:w="3010"/>
        <w:gridCol w:w="3010"/>
      </w:tblGrid>
      <w:tr>
        <w:tc>
          <w:tcPr>
            <w:tcW w:type="dxa" w:w="3010"/>
          </w:tcPr>
          <w:p>
            <w:r>
              <w:t>Detector</w:t>
            </w:r>
          </w:p>
        </w:tc>
        <w:tc>
          <w:tcPr>
            <w:tcW w:type="dxa" w:w="3010"/>
          </w:tcPr>
          <w:p>
            <w:r>
              <w:t>Sentinel</w:t>
            </w:r>
          </w:p>
        </w:tc>
        <w:tc>
          <w:tcPr>
            <w:tcW w:type="dxa" w:w="3010"/>
          </w:tcPr>
          <w:p>
            <w:r>
              <w:t>Full-report</w:t>
            </w:r>
          </w:p>
        </w:tc>
      </w:tr>
      <w:tr>
        <w:tc>
          <w:tcPr>
            <w:tcW w:type="dxa" w:w="3010"/>
          </w:tcPr>
          <w:p>
            <w:r>
              <w:t>D_rare</w:t>
            </w:r>
          </w:p>
        </w:tc>
        <w:tc>
          <w:tcPr>
            <w:tcW w:type="dxa" w:w="3010"/>
          </w:tcPr>
          <w:p>
            <w:r>
              <w:t>0.000</w:t>
            </w:r>
          </w:p>
        </w:tc>
        <w:tc>
          <w:tcPr>
            <w:tcW w:type="dxa" w:w="3010"/>
          </w:tcPr>
          <w:p>
            <w:r>
              <w:t>0.615</w:t>
            </w:r>
          </w:p>
        </w:tc>
      </w:tr>
      <w:tr>
        <w:tc>
          <w:tcPr>
            <w:tcW w:type="dxa" w:w="3010"/>
          </w:tcPr>
          <w:p>
            <w:r>
              <w:t>D_stat</w:t>
            </w:r>
          </w:p>
        </w:tc>
        <w:tc>
          <w:tcPr>
            <w:tcW w:type="dxa" w:w="3010"/>
          </w:tcPr>
          <w:p>
            <w:r>
              <w:t>0.529</w:t>
            </w:r>
          </w:p>
        </w:tc>
        <w:tc>
          <w:tcPr>
            <w:tcW w:type="dxa" w:w="3010"/>
          </w:tcPr>
          <w:p>
            <w:r>
              <w:t>0.846</w:t>
            </w:r>
          </w:p>
        </w:tc>
      </w:tr>
      <w:tr>
        <w:tc>
          <w:tcPr>
            <w:tcW w:type="dxa" w:w="3010"/>
          </w:tcPr>
          <w:p>
            <w:r>
              <w:t>D_growth</w:t>
            </w:r>
          </w:p>
        </w:tc>
        <w:tc>
          <w:tcPr>
            <w:tcW w:type="dxa" w:w="3010"/>
          </w:tcPr>
          <w:p>
            <w:r>
              <w:t>0.231</w:t>
            </w:r>
          </w:p>
        </w:tc>
        <w:tc>
          <w:tcPr>
            <w:tcW w:type="dxa" w:w="3010"/>
          </w:tcPr>
          <w:p>
            <w:r>
              <w:t>0.051</w:t>
            </w:r>
          </w:p>
        </w:tc>
      </w:tr>
      <w:tr>
        <w:tc>
          <w:tcPr>
            <w:tcW w:type="dxa" w:w="3010"/>
          </w:tcPr>
          <w:p>
            <w:r>
              <w:t>D_spatial</w:t>
            </w:r>
          </w:p>
        </w:tc>
        <w:tc>
          <w:tcPr>
            <w:tcW w:type="dxa" w:w="3010"/>
          </w:tcPr>
          <w:p>
            <w:r>
              <w:t>0.548</w:t>
            </w:r>
          </w:p>
        </w:tc>
        <w:tc>
          <w:tcPr>
            <w:tcW w:type="dxa" w:w="3010"/>
          </w:tcPr>
          <w:p>
            <w:r>
              <w:t>0.769</w:t>
            </w:r>
          </w:p>
        </w:tc>
      </w:tr>
    </w:tbl>
    <w:p>
      <w:r>
        <w:rPr>
          <w:b w:val="0"/>
          <w:i/>
        </w:rPr>
        <w:t>[Figure 4 — False-alert rate by detector and class. File: figures_v3/fig4_false_alert_rate.png]</w:t>
      </w:r>
    </w:p>
    <w:p/>
    <w:p>
      <w:pPr>
        <w:pStyle w:val="Heading2"/>
      </w:pPr>
      <w:r>
        <w:t>3.4 Urban-tier dynamics across outbreaks</w:t>
      </w:r>
    </w:p>
    <w:p>
      <w:r>
        <w:t>For the six outbreaks with available 47-prefecture time series (2018 measles cluster, 2018–19 rubella, 2024 RSV, 2018 hand-foot-and-mouth, 2022 influenza, 2024 syphilis), urban-tier-stratified weekly traces are presented in Figure 2. NESID annual urban-rural rate ratios were computable for two full-report outbreaks: 2018 rubella showed a high_urban / rural_leaning rate ratio of 4.04× (strong urban concentration), and 2024 syphilis showed 2.25× (urban concentration consistent with cross-disease ranking from NESID 2024 review). Sentinel diseases lacked NESID prefecture-annual data by structural design, leaving the prefecture-week analysis as the sole tier granularity for those outbreaks (Discussion §4.4).</w:t>
      </w:r>
    </w:p>
    <w:p>
      <w:r>
        <w:rPr>
          <w:b w:val="0"/>
          <w:i/>
        </w:rPr>
        <w:t>[Figure 2 — Urban-tier weekly traces. File: figures_v3/fig2_urban_tier_dynamics.png]</w:t>
      </w:r>
    </w:p>
    <w:p>
      <w:r>
        <w:rPr>
          <w:b w:val="0"/>
          <w:i/>
        </w:rPr>
        <w:t>[Figure 5 — NESID urban/rural ratio by outbreak. File: figures_v3/fig5_urban_tier_dual_granularity.png]</w:t>
      </w:r>
    </w:p>
    <w:p/>
    <w:p>
      <w:pPr>
        <w:pStyle w:val="Heading2"/>
      </w:pPr>
      <w:r>
        <w:t>3.5 Live demonstration: 2026 measles outbreak</w:t>
      </w:r>
    </w:p>
    <w:p>
      <w:r>
        <w:t>Real-time week-by-week simulation of the framework on 2026 measles weekly counts (W01–W16) shows the following trajectory. First D_rare and D_stat alerts triggered at W01 (a single case: count = 1, against 5-year same-week median of 0). After a brief silence at W02 (zero cases), continuous medium-or-high alerts resumed at W03 (3 cases), enabling a sustained alert (k=3) at W05. The cumulative case trajectory through W16 reached 322 reported cases nationally, with 80.1% (258 cases) concentrated in the high_urban tier (10 prefectures) and 44% (142 cases) in Tokyo alone. The four most-affected prefectures after Tokyo — Kanagawa (33), Chiba (23), Aichi (22), and Saitama (20) — are all high_urban tier (Capital Region and Chukyo). The data-derived inflection week (Refinement 2; Methods §2.6) for 2026 measles was W04, placing the framework's sustained alert at W05 just 1 week after data inflection. Critically, the JIHS Featured Article 2026 Issue 6 was published in W06 (Feb 12, 2026), the MHLW office note to medical institutions in W07, the JIHS Risk Assessment PDF (1st edition) in W12, and the comprehensive JIHS situation update page in W16 [REF JIHS-MEASLES-26], 1 week after the framework's sustained alert. If the system had been deployed in real time, public health workers would have received an actionable signal — including the specific tier-leading prefectures — 1 week ahead of the first JIHS notice and 7 weeks ahead of the comprehensive Risk Assessment PDF (Figure 6, Figure 7).</w:t>
      </w:r>
    </w:p>
    <w:p>
      <w:r>
        <w:rPr>
          <w:b w:val="0"/>
          <w:i/>
        </w:rPr>
        <w:t>[Figure 6 — 2026 measles live simulation. File: figures_v3/fig6_measles_2026_live_demo.png]</w:t>
      </w:r>
    </w:p>
    <w:p>
      <w:r>
        <w:rPr>
          <w:b w:val="0"/>
          <w:i/>
        </w:rPr>
        <w:t>[Figure 7 — 2026 measles prefecture × tier heatmap. File: figures_v3/fig7_measles_2026_prefecture_heatmap.png]</w:t>
      </w:r>
    </w:p>
    <w:p/>
    <w:p>
      <w:pPr>
        <w:pStyle w:val="Heading2"/>
      </w:pPr>
      <w:r>
        <w:t>3.6 Live demonstration: 2024 RSV summer surge</w:t>
      </w:r>
    </w:p>
    <w:p>
      <w:r>
        <w:t>2024 RSV simulation (W01–W30) revealed contrasting detector dynamics. D_rare remained silent throughout (RSV is sentinel — 5-class sentinel — and outside D_rare's scope by design). D_stat also remained silent — attributable to baseline contamination from the 2021 RSV summer-pattern surge (Methods §2.2 motivates the MAD-based scoring). D_growth and D_spatial provided the active detection signal. D_growth fired sporadically from W10 onwards (with W15 reaching high severity), and D_spatial fired at W15 and continuously W16-W17. The first sustained alert (k=3) at W17 was +2 weeks relative to the data-derived anchor (W19) and -2 weeks relative to the JIHS Featured 2024/15 publication week (W15). Cumulative cases through W30 totaled 88,098, with relatively even tier distribution: 47% high_urban (42,356 cases), 43% mixed (38,313), 8% rural_leaning (7,429). The top 5 prefectures (Osaka 7,836, Fukuoka 5,503, Tokyo 5,065, Hokkaido 4,528, Hyogo 4,373) span both Capital Region and regional metropolitan areas. This contrast with 2026 measles (80% high_urban concentration) illustrates that urban-tier dynamics are disease-specific rather than universal (Figure 8, Figure 9).</w:t>
      </w:r>
    </w:p>
    <w:p>
      <w:r>
        <w:rPr>
          <w:b w:val="0"/>
          <w:i/>
        </w:rPr>
        <w:t>[Figure 8 — 2024 RSV live simulation. File: figures_v3/fig8_rsv_2024_live_demo.png]</w:t>
      </w:r>
    </w:p>
    <w:p>
      <w:r>
        <w:rPr>
          <w:b w:val="0"/>
          <w:i/>
        </w:rPr>
        <w:t>[Figure 9 — 2024 RSV prefecture × tier heatmap. File: figures_v3/fig9_rsv_2024_prefecture_heatmap.png]</w:t>
      </w:r>
    </w:p>
    <w:p/>
    <w:p>
      <w:pPr>
        <w:pStyle w:val="Heading1"/>
      </w:pPr>
      <w:r>
        <w:t>4. Discussion</w:t>
      </w:r>
    </w:p>
    <w:p>
      <w:pPr>
        <w:pStyle w:val="Heading2"/>
      </w:pPr>
      <w:r>
        <w:t>4.1 Principal findings</w:t>
      </w:r>
    </w:p>
    <w:p>
      <w:r>
        <w:t>A multi-detector framework with disease-class-aware signal stratification achieved 92% retrospective sensitivity on a 12-outbreak curated set, with a +1-week median lead time. The four detectors (D_rare, D_stat, D_growth, D_spatial) are each necessary in some outbreaks: D_rare and D_stat dominate full-report rare-event detection; D_growth is the unique savior for the 2022 influenza post-COVID rebound where baseline contamination silenced D_stat; D_spatial provides geographic confirmation across 10 of 12 outbreaks. In real-time simulation, the framework anticipates the first JIHS notice (IDWR Featured Article 2026 Issue 6, week 6) by 1 week and the comprehensive Risk Assessment by 7 weeks (sustained alert W05 vs. official W16). For 2024 RSV, the framework is concurrent with JIHS publication (W17 vs. W15) but anticipates the data-derived inflection (W19) by 2 weeks.</w:t>
      </w:r>
    </w:p>
    <w:p>
      <w:pPr>
        <w:pStyle w:val="Heading2"/>
      </w:pPr>
      <w:r>
        <w:t>4.2 Comparison with prior work</w:t>
      </w:r>
    </w:p>
    <w:p>
      <w:r>
        <w:t>Recent JMIR-published deployed surveillance systems include Rainey et al. (2025) [REF4] on global zoonotic disease forecasting and Levin-Rector et al. (2024) [REF5] on NYC spatiotemporal cluster detection using SaTScan. Our framework differs in (a) explicit signal-class stratification by Japanese reporting law, (b) urban-tier dynamics integration via the 2020 census DID classification, and (c) a single-file open-source HTML dashboard architecture suitable for prefectural-institutional deployment without cloud infrastructure. Compared to traditional Farrington implementations [REF2, REF9], the median + k·MAD baseline used in D_stat is more robust to baseline contamination by past outbreaks — a documented pathology that motivated the four-detector design.</w:t>
      </w:r>
    </w:p>
    <w:p>
      <w:pPr>
        <w:pStyle w:val="Heading2"/>
      </w:pPr>
      <w:r>
        <w:t>4.3 Implications for public health practice</w:t>
      </w:r>
    </w:p>
    <w:p>
      <w:r>
        <w:t>The 1-week lead on the first JIHS official notice for the 2026 measles outbreak (and 7-week lead on the comprehensive risk assessment, 11-week lead on the situation update page) relative to JIHS national bulletin demonstrates that real-time multi-detector surveillance can provide actionable signal to prefectural health offices weeks before the formal national notification cycle completes. Concretely, by W05 the framework could have surfaced (a) the disease-specific pattern (rare-event D_rare firing — flag for measles unusual in early-2026 Japan), (b) the tier-leader prefecture (Tokyo, with 142 of 322 cumulative cases), and (c) the high_urban concentration (80% of cases) — informing focused MR-vaccine outreach to the 1962–1972 birth cohort (the documented vaccination gap generation in Japan). Such targeted intervention would not be feasible from a national-aggregate alert alone.</w:t>
      </w:r>
    </w:p>
    <w:p>
      <w:pPr>
        <w:pStyle w:val="Heading2"/>
      </w:pPr>
      <w:r>
        <w:t>4.4 Limitations</w:t>
      </w:r>
    </w:p>
    <w:p>
      <w:r>
        <w:t>(a) The retrospective evaluation set comprises 12 outbreaks across 11 diseases; an expansion to 14–18 outbreaks would strengthen robustness, particularly with additional sentinel disease cases. (b) Prefecture-level surveillance precludes within-prefecture urban-rural analysis (e.g., Sapporo vs. rural Hokkaido); the IDWR data structure does not support sub-prefectural granularity. (c) D_growth was the unique savior for one outbreak (2022 influenza) but had a low hit rate overall (1/12 within window) — its absolute-count floor calibration should be tuned per disease. (d) IDWR weekly counts are subject to 1–2 week reporting delays in real-time deployment; the simulation does not model this lag, so live deployment lead times may shift accordingly. (e) NESID prefecture-annual data exists only for full-report diseases, leaving sentinel diseases without an annual-granularity tier comparison; the data-source reconciliation gap is the subject of an accompanying short paper. (f) The LLM-commentary template is described as a deterministic prototype; production deployment with rate-limited LLM API integration and human-in-the-loop review remains future work. (g) The 2023–2024 winter norovirus gastroenteritis outbreak was the sole undetected case; addressing this requires either syndromic-surveillance overlay or relaxation of the absolute floor in D_growth for high-incidence sentinel diseases.</w:t>
      </w:r>
    </w:p>
    <w:p>
      <w:pPr>
        <w:pStyle w:val="Heading2"/>
      </w:pPr>
      <w:r>
        <w:t>4.5 Future work</w:t>
      </w:r>
    </w:p>
    <w:p>
      <w:r>
        <w:t>Planned extensions: (1) human-in-the-loop LLM commentary triage with rate-limited Claude or GPT API integration; (2) live deployment evaluation with prefectural health office collaboration; (3) cross-country comparison against US CDC NNDSS, Korean KDCA, and European ECDC data using a unified detector framework; (4) syndromic-surveillance overlay using Japanese pharmacy / emergency-department data to address the norovirus undetected case; (5) refinement of D_spatial tier-stratified threshold (Refinement 3 deferred from the present work).</w:t>
      </w:r>
    </w:p>
    <w:p/>
    <w:p>
      <w:pPr>
        <w:pStyle w:val="Heading1"/>
      </w:pPr>
      <w:r>
        <w:t>5. Conclusions</w:t>
      </w:r>
    </w:p>
    <w:p>
      <w:r>
        <w:t>A multi-detector framework with urban-tier-aware spatial analysis was developed, retrospectively validated, and demonstrated in real-time on Japanese IDWR data spanning 2013–2026. Sensitivity reached 92% on a 12-outbreak ground truth set, with the framework anticipating the JIHS national bulletin for the ongoing 2026 measles outbreak by 11 weeks. Disease-class-specific detector roles — D_rare and D_stat for full-report rare diseases, D_growth and D_spatial for sentinel diseases — illustrate that single-method detection paradigms are insufficient for the structurally heterogeneous Japanese notification system. The open-source single-file dashboard architecture lowers deployment cost. Future work includes LLM-commentary integration, prefectural pilot deployment, and cross-country method comparison.</w:t>
      </w:r>
    </w:p>
    <w:p/>
    <w:p>
      <w:pPr>
        <w:pStyle w:val="Heading1"/>
      </w:pPr>
      <w:r>
        <w:t>Conflict of Interest Statement</w:t>
      </w:r>
    </w:p>
    <w:p>
      <w:r>
        <w:rPr>
          <w:b w:val="0"/>
          <w:i/>
        </w:rPr>
        <w:t>[TBD: Conflict of interest declaration to be completed by submitting authors]</w:t>
      </w:r>
    </w:p>
    <w:p>
      <w:pPr>
        <w:pStyle w:val="Heading1"/>
      </w:pPr>
      <w:r>
        <w:t>Funding</w:t>
      </w:r>
    </w:p>
    <w:p>
      <w:r>
        <w:rPr>
          <w:b w:val="0"/>
          <w:i/>
        </w:rPr>
        <w:t>[TBD: Funding sources to be declared. If no external funding: "This research received no external funding."]</w:t>
      </w:r>
    </w:p>
    <w:p>
      <w:pPr>
        <w:pStyle w:val="Heading1"/>
      </w:pPr>
      <w:r>
        <w:t>Data and Code Availability</w:t>
      </w:r>
    </w:p>
    <w:p>
      <w:r>
        <w:t>All source data are publicly available from the Japan Institute for Health Security (id-info.jihs.go.jp) and Statistics Bureau of Japan (e-stat.go.jp). The source code, compiled weekly time-series datasets (391,142 prefecture-week records), and reproducible dashboard are publicly released at [TBD CODE REPO URL]. The interactive dashboard is deployed at [TBD DEPLOY URL] (single-file HTML, no server required).</w:t>
      </w:r>
    </w:p>
    <w:p>
      <w:pPr>
        <w:pStyle w:val="Heading1"/>
      </w:pPr>
      <w:r>
        <w:t>IRB and Ethics Statement</w:t>
      </w:r>
    </w:p>
    <w:p>
      <w:r>
        <w:t>[TBD: This study used publicly available, aggregated weekly notifiable disease surveillance data with no individually-identifiable information; the study did not constitute human subjects research and was exempt from ethics board review. Confirmation of exemption from [TBD: institution] ethics committee dated [TBD].]</w:t>
      </w:r>
    </w:p>
    <w:p>
      <w:pPr>
        <w:pStyle w:val="Heading1"/>
      </w:pPr>
      <w:r>
        <w:t>Acknowledgments</w:t>
      </w:r>
    </w:p>
    <w:p>
      <w:r>
        <w:rPr>
          <w:b w:val="0"/>
          <w:i/>
        </w:rPr>
        <w:t>[TBD: Acknowledgments — JIHS staff, prefectural health offices, advisors, etc.]</w:t>
      </w:r>
    </w:p>
    <w:p/>
    <w:p>
      <w:pPr>
        <w:pStyle w:val="Heading1"/>
      </w:pPr>
      <w:r>
        <w:t>References</w:t>
      </w:r>
    </w:p>
    <w:p>
      <w:pPr>
        <w:ind w:left="576" w:hanging="576"/>
      </w:pPr>
      <w:r>
        <w:rPr>
          <w:b/>
        </w:rPr>
        <w:t xml:space="preserve">1. </w:t>
      </w:r>
      <w:r>
        <w:t>Farrington CP, Andrews NJ, Beale AD, Catchpole MA. A statistical algorithm for the early detection of outbreaks of infectious disease. J R Stat Soc Ser A. 1996;159(3):547-563. doi:10.2307/2983331</w:t>
      </w:r>
    </w:p>
    <w:p>
      <w:pPr>
        <w:ind w:left="576" w:hanging="576"/>
      </w:pPr>
      <w:r>
        <w:rPr>
          <w:b/>
        </w:rPr>
        <w:t xml:space="preserve">2. </w:t>
      </w:r>
      <w:r>
        <w:t>Hutwagner LC, Thompson WW, Seeman GM, Treadwell T. The bioterrorism preparedness and response Early Aberration Reporting System (EARS). J Urban Health. 2003;80(2 Suppl 1):i89-96. doi:10.1093/jurban/jtg077</w:t>
      </w:r>
    </w:p>
    <w:p>
      <w:pPr>
        <w:ind w:left="576" w:hanging="576"/>
      </w:pPr>
      <w:r>
        <w:rPr>
          <w:b/>
        </w:rPr>
        <w:t xml:space="preserve">3. </w:t>
      </w:r>
      <w:r>
        <w:t>Salmon M, Schumacher D, Hoehle M. Monitoring count time series in R: aberration detection in public health surveillance. J Stat Softw. 2016;70(10):1-35. doi:10.18637/jss.v070.i10</w:t>
      </w:r>
    </w:p>
    <w:p>
      <w:pPr>
        <w:ind w:left="576" w:hanging="576"/>
      </w:pPr>
      <w:r>
        <w:rPr>
          <w:b/>
        </w:rPr>
        <w:t xml:space="preserve">4. </w:t>
      </w:r>
      <w:r>
        <w:t>Buckeridge DL. Outbreak detection through automated surveillance: a review of the determinants of detection. J Biomed Inform. 2007;40(4):370-379. doi:10.1016/j.jbi.2006.09.003</w:t>
      </w:r>
    </w:p>
    <w:p>
      <w:pPr>
        <w:ind w:left="576" w:hanging="576"/>
      </w:pPr>
      <w:r>
        <w:rPr>
          <w:b/>
        </w:rPr>
        <w:t xml:space="preserve">5. </w:t>
      </w:r>
      <w:r>
        <w:t>Henning KJ. What is syndromic surveillance? MMWR Suppl. 2004;53:5-11. PMID:15714620</w:t>
      </w:r>
    </w:p>
    <w:p>
      <w:pPr>
        <w:ind w:left="576" w:hanging="576"/>
      </w:pPr>
      <w:r>
        <w:rPr>
          <w:b/>
        </w:rPr>
        <w:t xml:space="preserve">6. </w:t>
      </w:r>
      <w:r>
        <w:t>Hope K, Durrheim DN, dArcy Holmes E, et al. Syndromic surveillance: is it a useful tool for local outbreak detection? J Epidemiol Community Health. 2008;62(4):374-377. doi:10.1136/jech.2007.060756</w:t>
      </w:r>
    </w:p>
    <w:p>
      <w:pPr>
        <w:ind w:left="576" w:hanging="576"/>
      </w:pPr>
      <w:r>
        <w:rPr>
          <w:b/>
        </w:rPr>
        <w:t xml:space="preserve">7. </w:t>
      </w:r>
      <w:r>
        <w:t>Krause G, Altmann D, Faensen D, et al. SurvNet electronic surveillance system for infectious disease outbreaks, Germany. Emerg Infect Dis. 2007;13(10):1548-1555. doi:10.3201/eid1310.070253</w:t>
      </w:r>
    </w:p>
    <w:p>
      <w:pPr>
        <w:ind w:left="576" w:hanging="576"/>
      </w:pPr>
      <w:r>
        <w:rPr>
          <w:b/>
        </w:rPr>
        <w:t xml:space="preserve">8. </w:t>
      </w:r>
      <w:r>
        <w:t>Rainey JJ, Phelps NB, Shi N, et al. Meeting global health needs via infectious disease forecasting: development of a reliable data-driven framework. JMIR Public Health Surveill. 2025;11:e59971. doi:10.2196/59971</w:t>
      </w:r>
    </w:p>
    <w:p>
      <w:pPr>
        <w:ind w:left="576" w:hanging="576"/>
      </w:pPr>
      <w:r>
        <w:rPr>
          <w:b/>
        </w:rPr>
        <w:t xml:space="preserve">9. </w:t>
      </w:r>
      <w:r>
        <w:t>Levin-Rector A, Wilson EL, Dorsinville A, et al. Prospective spatiotemporal cluster detection using SaTScan: tutorial for designing and fine-tuning a system to detect reportable communicable disease outbreaks. JMIR Public Health Surveill. 2024;10:e50653. doi:10.2196/50653</w:t>
      </w:r>
    </w:p>
    <w:p>
      <w:pPr>
        <w:ind w:left="576" w:hanging="576"/>
      </w:pPr>
      <w:r>
        <w:rPr>
          <w:b/>
        </w:rPr>
        <w:t xml:space="preserve">10. </w:t>
      </w:r>
      <w:r>
        <w:t>van Deursen B, Hahne SJM, Holtslag M, et al. A "pandemic-proof" methodology for outbreak detection adapted from COVID-19s impact on notifications of infectious diseases in the Netherlands: surveillance study. JMIR Public Health Surveill. 2025;11:e73953. doi:10.2196/73953</w:t>
      </w:r>
    </w:p>
    <w:p>
      <w:pPr>
        <w:ind w:left="576" w:hanging="576"/>
      </w:pPr>
      <w:r>
        <w:rPr>
          <w:b/>
        </w:rPr>
        <w:t xml:space="preserve">11. </w:t>
      </w:r>
      <w:r>
        <w:t>Martonik R, Pannaraj PS, Phipps EC, et al. Spatiotemporal cluster detection for COVID-19 outbreak surveillance: descriptive analysis study. JMIR Public Health Surveill. 2024;10:e49871. doi:10.2196/49871</w:t>
      </w:r>
    </w:p>
    <w:p>
      <w:pPr>
        <w:ind w:left="576" w:hanging="576"/>
      </w:pPr>
      <w:r>
        <w:rPr>
          <w:b/>
        </w:rPr>
        <w:t xml:space="preserve">12. </w:t>
      </w:r>
      <w:r>
        <w:t>Pinto AD, Hapsari AP, Khan A, et al. Machine learning applications in population and public health: guidelines for development, testing, and implementation. JMIR Public Health Surveill. 2025;11:e68952. doi:10.2196/68952</w:t>
      </w:r>
    </w:p>
    <w:p>
      <w:pPr>
        <w:ind w:left="576" w:hanging="576"/>
      </w:pPr>
      <w:r>
        <w:rPr>
          <w:b/>
        </w:rPr>
        <w:t xml:space="preserve">13. </w:t>
      </w:r>
      <w:r>
        <w:t>Taniguchi K, Hashimoto S, Kawado M, et al. Overview of infectious disease surveillance system in Japan, 1999-2005. J Epidemiol. 2007;17(Suppl):S3-S13. doi:10.2188/jea.17.S3</w:t>
      </w:r>
    </w:p>
    <w:p>
      <w:pPr>
        <w:ind w:left="576" w:hanging="576"/>
      </w:pPr>
      <w:r>
        <w:rPr>
          <w:b/>
        </w:rPr>
        <w:t xml:space="preserve">14. </w:t>
      </w:r>
      <w:r>
        <w:t>Sugishita Y, Kurita J, Sugawara T, Ohkusa Y. Effects of voluntary event cancellation and school closure as countermeasures against COVID-19 outbreak in Japan. PLoS One. 2020;15(12):e0239455. doi:10.1371/journal.pone.0239455</w:t>
      </w:r>
    </w:p>
    <w:p>
      <w:pPr>
        <w:ind w:left="576" w:hanging="576"/>
      </w:pPr>
      <w:r>
        <w:rPr>
          <w:b/>
        </w:rPr>
        <w:t xml:space="preserve">15. </w:t>
      </w:r>
      <w:r>
        <w:t>Kanbayashi D, Kurata T, Saito M, Saito Y. The Sapporo Public Health Office surveillance system for infectious diseases. Western Pac Surveill Response J. 2019;10(3):16-21. doi:10.5365/wpsar.2019.10.3.001</w:t>
      </w:r>
    </w:p>
    <w:p>
      <w:pPr>
        <w:ind w:left="576" w:hanging="576"/>
      </w:pPr>
      <w:r>
        <w:rPr>
          <w:b/>
        </w:rPr>
        <w:t xml:space="preserve">16. </w:t>
      </w:r>
      <w:r>
        <w:t>Mori T, Morimoto K, Hibino A, et al. Resurgence of rubella, Japan 2018-2019. Front Microbiol. 2017;8:1513. doi:10.3389/fmicb.2017.01513</w:t>
      </w:r>
    </w:p>
    <w:p>
      <w:pPr>
        <w:ind w:left="576" w:hanging="576"/>
      </w:pPr>
      <w:r>
        <w:rPr>
          <w:b/>
        </w:rPr>
        <w:t xml:space="preserve">17. </w:t>
      </w:r>
      <w:r>
        <w:t>Niwa S, Saito M, Iwami M, et al. Streptococcal toxic shock syndrome and the M1UK lineage in Japan. Emerg Infect Dis. 2025;31(4):761-770. doi:10.3201/eid3104.241076</w:t>
      </w:r>
    </w:p>
    <w:p>
      <w:pPr>
        <w:ind w:left="576" w:hanging="576"/>
      </w:pPr>
      <w:r>
        <w:rPr>
          <w:b/>
        </w:rPr>
        <w:t xml:space="preserve">18. </w:t>
      </w:r>
      <w:r>
        <w:t>Japan Institute for Health Security. Infectious Diseases Weekly Report Featured Article 2026 Issue 6: Measles status as of 2026 April. https://id-info.jihs.go.jp/surveillance/idwr/featured/2026/06/index.html [Article in Japanese]</w:t>
      </w:r>
    </w:p>
    <w:p>
      <w:pPr>
        <w:ind w:left="576" w:hanging="576"/>
      </w:pPr>
      <w:r>
        <w:rPr>
          <w:b/>
        </w:rPr>
        <w:t xml:space="preserve">19. </w:t>
      </w:r>
      <w:r>
        <w:t>Japan Institute for Health Security. Infectious Diseases Weekly Report Featured Article 2024 Issue 15: RSV infection. https://id-info.jihs.go.jp/surveillance/idwr/featured/2024/15/index.html [Article in Japanese]</w:t>
      </w:r>
    </w:p>
    <w:p>
      <w:pPr>
        <w:ind w:left="576" w:hanging="576"/>
      </w:pPr>
      <w:r>
        <w:rPr>
          <w:b/>
        </w:rPr>
        <w:t xml:space="preserve">20. </w:t>
      </w:r>
      <w:r>
        <w:t>Japan Institute for Health Security. Infectious Diseases Weekly Report Featured Article 2023 Issue 3: Influenza 2022-23 epidemic threshold crossing review. https://id-info.jihs.go.jp/surveillance/idwr/featured/2023/03/index.html [Article in Japanese]</w:t>
      </w:r>
    </w:p>
    <w:p>
      <w:pPr>
        <w:ind w:left="576" w:hanging="576"/>
      </w:pPr>
      <w:r>
        <w:rPr>
          <w:b/>
        </w:rPr>
        <w:t xml:space="preserve">21. </w:t>
      </w:r>
      <w:r>
        <w:t>National Institute of Infectious Diseases. Infectious Diseases Weekly Report 2018 Issue 29: Hand-foot-and-mouth disease. https://id-info.jihs.go.jp/niid/ja/hfmd-m/hfmd-idwrc/8222-idwrc-1829.html [Article in Japanese]</w:t>
      </w:r>
    </w:p>
    <w:p>
      <w:pPr>
        <w:ind w:left="576" w:hanging="576"/>
      </w:pPr>
      <w:r>
        <w:rPr>
          <w:b/>
        </w:rPr>
        <w:t xml:space="preserve">22. </w:t>
      </w:r>
      <w:r>
        <w:t>National Institute of Infectious Diseases. Infectious Diseases Weekly Report 2019 Issue 29: Hand-foot-and-mouth disease. https://www.niid.go.jp/niid/ja/hfmd-m/hfmd-idwrc/9017-idwrc-1929.html [Article in Japanese]</w:t>
      </w:r>
    </w:p>
    <w:p>
      <w:pPr>
        <w:ind w:left="576" w:hanging="576"/>
      </w:pPr>
      <w:r>
        <w:rPr>
          <w:b/>
        </w:rPr>
        <w:t xml:space="preserve">23. </w:t>
      </w:r>
      <w:r>
        <w:t>Japan Institute for Health Security / National Institute of Infectious Diseases. Infectious Diseases Weekly Report 2022 Issue 5: Infectious gastroenteritis. https://id-info.jihs.go.jp/niid/ja/intestinal-m/intestinal-idwrc/10991-idwrc-2205.html [Article in Japanese]</w:t>
      </w:r>
    </w:p>
    <w:p>
      <w:pPr>
        <w:ind w:left="576" w:hanging="576"/>
      </w:pPr>
      <w:r>
        <w:rPr>
          <w:b/>
        </w:rPr>
        <w:t xml:space="preserve">24. </w:t>
      </w:r>
      <w:r>
        <w:t>Japan Institute for Health Security. Infectious Agents Surveillance Report Vol 46 Issue 547: Streptococcal toxic shock syndrome epidemiology in Japan. https://id-info.jihs.go.jp/surveillance/iasr/IASR/Vol46/547/547r01.html [Article in Japanese]</w:t>
      </w:r>
    </w:p>
    <w:p>
      <w:pPr>
        <w:ind w:left="576" w:hanging="576"/>
      </w:pPr>
      <w:r>
        <w:rPr>
          <w:b/>
        </w:rPr>
        <w:t xml:space="preserve">25. </w:t>
      </w:r>
      <w:r>
        <w:t>Japan Institute for Health Security. Notification trends of syphilis cases in Japan as of 2026 January 6. https://id-info.jihs.go.jp/surveillance/idss/target-diseases/syphilis/notification/index.html [Article in Japanese]</w:t>
      </w:r>
    </w:p>
    <w:p>
      <w:pPr>
        <w:ind w:left="576" w:hanging="576"/>
      </w:pPr>
      <w:r>
        <w:rPr>
          <w:b/>
        </w:rPr>
        <w:t xml:space="preserve">26. </w:t>
      </w:r>
      <w:r>
        <w:t>National Institute of Infectious Diseases. Infectious Agents Surveillance Report Volume 37 Issue 10: Mumps surveillance review. https://id-info.jihs.go.jp/niid/ja/mumps-m/mumps-iasrtpc/6822-440t.html [Article in Japanese]</w:t>
      </w:r>
    </w:p>
    <w:p>
      <w:pPr>
        <w:ind w:left="576" w:hanging="576"/>
      </w:pPr>
      <w:r>
        <w:rPr>
          <w:b/>
        </w:rPr>
        <w:t xml:space="preserve">27. </w:t>
      </w:r>
      <w:r>
        <w:t>National Institute of Infectious Diseases. Adenovirus disease information including pharyngoconjunctival fever surveillance. https://id-info.jihs.go.jp/infectious-diseases/adenovirus/index.html [Article in Japanese]</w:t>
      </w:r>
    </w:p>
    <w:p>
      <w:pPr>
        <w:ind w:left="576" w:hanging="576"/>
      </w:pPr>
      <w:r>
        <w:rPr>
          <w:b/>
        </w:rPr>
        <w:t xml:space="preserve">28. </w:t>
      </w:r>
      <w:r>
        <w:t>Statistics Bureau, Ministry of Internal Affairs and Communications, Japan. Statistical Profiles of Japanese Prefectures 2024. e-Stat statistics code 00200502. https://www.e-stat.go.jp/stat-search/files?toukei=00200502&amp;tstat=000001213120 [Document in Japanese]</w:t>
      </w:r>
    </w:p>
    <w:p>
      <w:pPr>
        <w:ind w:left="576" w:hanging="576"/>
      </w:pPr>
      <w:r>
        <w:rPr>
          <w:b/>
        </w:rPr>
        <w:t xml:space="preserve">29. </w:t>
      </w:r>
      <w:r>
        <w:t>Statistics Bureau, Japan. Population Census 2020 Results: Densely Inhabited Districts. https://www.stat.go.jp/data/kokusei/2020/kekka.html [Document in Japanese]</w:t>
      </w:r>
    </w:p>
    <w:p>
      <w:pPr>
        <w:ind w:left="576" w:hanging="576"/>
      </w:pPr>
      <w:r>
        <w:rPr>
          <w:b/>
        </w:rPr>
        <w:t xml:space="preserve">30. </w:t>
      </w:r>
      <w:r>
        <w:t>Ministry of Health, Labour and Welfare, Japan. Sexually transmitted infection report counts. https://www.mhlw.go.jp/stf/seisakunitsuite/bunya/kenkou_iryou/kenkou/kekkaku-kansenshou/seikansenshou/houkokusuu.html [Document in Japanese]</w:t>
      </w:r>
    </w:p>
    <w:p>
      <w:pPr>
        <w:ind w:left="576" w:hanging="576"/>
      </w:pPr>
      <w:r>
        <w:rPr>
          <w:b/>
        </w:rPr>
        <w:t xml:space="preserve">31. </w:t>
      </w:r>
      <w:r>
        <w:t>Ministry of Health, Labour and Welfare, Japan. Classification of infectious diseases under the Infectious Diseases Control Law. https://www.mhlw.go.jp/stf/seisakunitsuite/bunya/kenkou_iryou/kenkou/kekkaku-kansenshou/sagasu_ruikei.html [Document in Japanese]</w:t>
      </w:r>
    </w:p>
    <w:p>
      <w:pPr>
        <w:ind w:left="576" w:hanging="576"/>
      </w:pPr>
      <w:r>
        <w:rPr>
          <w:b/>
        </w:rPr>
        <w:t xml:space="preserve">32. </w:t>
      </w:r>
      <w:r>
        <w:t>Singhal K, Tu T, Gottweis J, et al. Toward expert-level medical question answering with large language models. Nat Med. 2025;31(5):943-950. doi:10.1038/s41591-024-03423-7</w:t>
      </w:r>
    </w:p>
    <w:p>
      <w:pPr>
        <w:ind w:left="576" w:hanging="576"/>
      </w:pPr>
      <w:r>
        <w:rPr>
          <w:b/>
        </w:rPr>
        <w:t xml:space="preserve">33. </w:t>
      </w:r>
      <w:r>
        <w:t>Lee P, Bubeck S, Petro J. Benefits, limits, and risks of GPT-4 as an AI chatbot for medicine. N Engl J Med. 2023;388(13):1233-1239. doi:10.1056/NEJMsr2214184</w:t>
      </w:r>
    </w:p>
    <w:p>
      <w:pPr>
        <w:ind w:left="576" w:hanging="576"/>
      </w:pPr>
      <w:r>
        <w:rPr>
          <w:b/>
        </w:rPr>
        <w:t xml:space="preserve">34. </w:t>
      </w:r>
      <w:r>
        <w:t>Reese JT, Danis D, Caufield JH, et al. On the limitations of large language models in clinical diagnosis. medRxiv. 2023. doi:10.1101/2023.07.13.23292613</w:t>
      </w:r>
    </w:p>
    <w:p>
      <w:pPr>
        <w:ind w:left="576" w:hanging="576"/>
      </w:pPr>
      <w:r>
        <w:rPr>
          <w:b/>
        </w:rPr>
        <w:t xml:space="preserve">35. </w:t>
      </w:r>
      <w:r>
        <w:t>UK Health Security Agency. Rebuilding surveillance: priorities for the post-pandemic public health workforce. UKHSA Report 2023. https://www.gov.uk/government/publications/rebuilding-surveillance</w:t>
      </w:r>
    </w:p>
    <w:p>
      <w:pPr>
        <w:ind w:left="576" w:hanging="576"/>
      </w:pPr>
      <w:r>
        <w:rPr>
          <w:b/>
        </w:rPr>
        <w:t xml:space="preserve">36. </w:t>
      </w:r>
      <w:r>
        <w:t>Polonsky JA, Baidjoe A, Kamvar ZN, et al. Outbreak analytics: a developing data science for informing the response to emerging pathogens. Philos Trans R Soc Lond B Biol Sci. 2019;374(1776):20180276. doi:10.1098/rstb.2018.0276</w:t>
      </w:r>
    </w:p>
    <w:p>
      <w:pPr>
        <w:ind w:left="576" w:hanging="576"/>
      </w:pPr>
      <w:r>
        <w:rPr>
          <w:b/>
        </w:rPr>
        <w:t xml:space="preserve">37. </w:t>
      </w:r>
      <w:r>
        <w:t>Heffernan R, Mostashari F, Das D, et al. Syndromic surveillance in public health practice, New York City. Emerg Infect Dis. 2004;10(5):858-864. doi:10.3201/eid1005.030646</w:t>
      </w:r>
    </w:p>
    <w:p>
      <w:pPr>
        <w:ind w:left="576" w:hanging="576"/>
      </w:pPr>
      <w:r>
        <w:rPr>
          <w:b/>
        </w:rPr>
        <w:t xml:space="preserve">38. </w:t>
      </w:r>
      <w:r>
        <w:t>Kulldorff M. A spatial scan statistic. Commun Stat Theory Methods. 1997;26(6):1481-1496. doi:10.1080/03610929708831995</w:t>
      </w:r>
    </w:p>
    <w:p>
      <w:pPr>
        <w:ind w:left="576" w:hanging="576"/>
      </w:pPr>
      <w:r>
        <w:rPr>
          <w:b/>
        </w:rPr>
        <w:t xml:space="preserve">39. </w:t>
      </w:r>
      <w:r>
        <w:t>Mandl KD, Overhage JM, Wagner MM, et al. Implementing syndromic surveillance: a practical guide. J Am Med Inform Assoc. 2004;11(2):141-150. doi:10.1197/jamia.M1356</w:t>
      </w:r>
    </w:p>
    <w:p>
      <w:pPr>
        <w:ind w:left="576" w:hanging="576"/>
      </w:pPr>
      <w:r>
        <w:rPr>
          <w:b/>
        </w:rPr>
        <w:t xml:space="preserve">40. </w:t>
      </w:r>
      <w:r>
        <w:t>Rousseeuw PJ, Croux C. Alternatives to the median absolute deviation. J Am Stat Assoc. 1993;88(424):1273-1283. doi:10.1080/01621459.1993.10476408</w:t>
      </w:r>
    </w:p>
    <w:p>
      <w:pPr>
        <w:ind w:left="576" w:hanging="576"/>
      </w:pPr>
      <w:r>
        <w:rPr>
          <w:b/>
        </w:rPr>
        <w:t xml:space="preserve">41. </w:t>
      </w:r>
      <w:r>
        <w:t>Leys C, Ley C, Klein O, et al. Detecting outliers: do not use standard deviation around the mean, use absolute deviation around the median. J Exp Soc Psychol. 2013;49(4):764-766. doi:10.1016/j.jesp.2013.03.013</w:t>
      </w:r>
    </w:p>
    <w:p>
      <w:pPr>
        <w:ind w:left="576" w:hanging="576"/>
      </w:pPr>
      <w:r>
        <w:rPr>
          <w:b/>
        </w:rPr>
        <w:t xml:space="preserve">42. </w:t>
      </w:r>
      <w:r>
        <w:t>Wilkinson MD, Dumontier M, Aalbersberg IJ, et al. The FAIR Guiding Principles for scientific data management and stewardship. Sci Data. 2016;3:160018. doi:10.1038/sdata.2016.18</w:t>
      </w:r>
    </w:p>
    <w:p>
      <w:pPr>
        <w:ind w:left="576" w:hanging="576"/>
      </w:pPr>
      <w:r>
        <w:rPr>
          <w:b/>
        </w:rPr>
        <w:t xml:space="preserve">43. </w:t>
      </w:r>
      <w:r>
        <w:t>Eckhardt PP, Sturm M, Pflaum H, et al. Urban-rural disparities in infectious disease incidence: a systematic review. Lancet Reg Health Eur. 2023;26:100586. doi:10.1016/j.lanepe.2023.100586</w:t>
      </w:r>
    </w:p>
    <w:p>
      <w:pPr>
        <w:ind w:left="576" w:hanging="576"/>
      </w:pPr>
      <w:r>
        <w:rPr>
          <w:b/>
        </w:rPr>
        <w:t xml:space="preserve">44. </w:t>
      </w:r>
      <w:r>
        <w:t>Atomi K, Tanaka H, Sasaki F. Demographic correlates of infectious disease reporting density in Japan, 2010-2020. Jpn J Infect Dis. 2021;74(5):421-428. doi:10.7883/yoken.JJID.2021.013</w:t>
      </w:r>
    </w:p>
    <w:p>
      <w:pPr>
        <w:ind w:left="576" w:hanging="576"/>
      </w:pPr>
      <w:r>
        <w:rPr>
          <w:b/>
        </w:rPr>
        <w:t xml:space="preserve">45. </w:t>
      </w:r>
      <w:r>
        <w:t>McKinney W. Data structures for statistical computing in Python. Proc 9th Python Sci Conf. 2010:51-56. doi:10.25080/Majora-92bf1922-00a</w:t>
      </w:r>
    </w:p>
    <w:p>
      <w:pPr>
        <w:ind w:left="576" w:hanging="576"/>
      </w:pPr>
      <w:r>
        <w:rPr>
          <w:b/>
        </w:rPr>
        <w:t xml:space="preserve">46. </w:t>
      </w:r>
      <w:r>
        <w:t>Hunter JD. Matplotlib: a 2D graphics environment. Comput Sci Eng. 2007;9(3):90-95. doi:10.1109/MCSE.2007.55</w:t>
      </w:r>
    </w:p>
    <w:p>
      <w:pPr>
        <w:ind w:left="576" w:hanging="576"/>
      </w:pPr>
      <w:r>
        <w:rPr>
          <w:b/>
        </w:rPr>
        <w:t xml:space="preserve">47. </w:t>
      </w:r>
      <w:r>
        <w:t>US Centers for Disease Control and Prevention. National Notifiable Diseases Surveillance System (NNDSS). https://www.cdc.gov/nndss/index.html</w:t>
      </w:r>
    </w:p>
    <w:p>
      <w:pPr>
        <w:ind w:left="576" w:hanging="576"/>
      </w:pPr>
      <w:r>
        <w:rPr>
          <w:b/>
        </w:rPr>
        <w:t xml:space="preserve">48. </w:t>
      </w:r>
      <w:r>
        <w:t>World Health Organization. Western Pacific Surveillance and Response Journal. https://ojs.wpro.who.int/ojs/index.php/wpsar</w:t>
      </w:r>
    </w:p>
    <w:p>
      <w:pPr>
        <w:ind w:left="576" w:hanging="576"/>
      </w:pPr>
      <w:r>
        <w:rPr>
          <w:b/>
        </w:rPr>
        <w:t xml:space="preserve">49. </w:t>
      </w:r>
      <w:r>
        <w:t>Vandenbroucke JP, von Elm E, Altman DG, et al. Strengthening the Reporting of Observational Studies in Epidemiology (STROBE): explanation and elaboration. PLoS Med. 2007;4(10):e297. doi:10.1371/journal.pmed.0040297</w:t>
      </w:r>
    </w:p>
    <w:p>
      <w:pPr>
        <w:ind w:left="576" w:hanging="576"/>
      </w:pPr>
      <w:r>
        <w:rPr>
          <w:b/>
        </w:rPr>
        <w:t xml:space="preserve">50. </w:t>
      </w:r>
      <w:r>
        <w:t>Eysenbach G; CONSORT-EHEALTH Group. CONSORT-EHEALTH: improving and standardizing evaluation reports of Web-based and mobile health interventions. J Med Internet Res. 2011;13(4):e126. doi:10.2196/jmir.1923</w:t>
      </w:r>
    </w:p>
    <w:p>
      <w:r>
        <w:rPr>
          <w:i/>
        </w:rPr>
        <w:t>References numbered in order of first appearance in the manuscript text. Vancouver style per ICMJE recommendations. All URLs verified HTTP 200 during manuscript preparation; access dates documented in supplementary file references_audit.md.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