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Текст выступления по презентации</w:t>
        <w:br/>
        <w:t>VK Predict CMC Hackathon</w:t>
      </w:r>
    </w:p>
    <w:p>
      <w:pPr>
        <w:jc w:val="center"/>
      </w:pPr>
      <w:r>
        <w:rPr>
          <w:i/>
          <w:sz w:val="22"/>
        </w:rPr>
        <w:t>Ориентир: 10 минут, 15 слайдов</w:t>
      </w:r>
    </w:p>
    <w:p>
      <w:r>
        <w:rPr>
          <w:b/>
        </w:rPr>
        <w:t xml:space="preserve">Примечание. </w:t>
      </w:r>
      <w:r>
        <w:t>Текст рассчитан на устное выступление: формулировки можно сокращать на месте, если доклад идёт быстрее, или чуть подробнее комментировать метрики на слайдах 8–12.</w:t>
      </w:r>
    </w:p>
    <w:p>
      <w:r>
        <w:rPr>
          <w:b/>
        </w:rPr>
        <w:t xml:space="preserve">Распределение времени: </w:t>
      </w:r>
      <w:r>
        <w:t>задача и данные — около 2 минут; EDA и признаки — около 2 минут; модели — около 2 минут; бленды и результаты — около 3 минут; выводы — около 1 минуты.</w:t>
      </w:r>
    </w:p>
    <w:p>
      <w:pPr>
        <w:pStyle w:val="Heading1"/>
      </w:pPr>
      <w:r>
        <w:t>Слайд 1. Титульный</w:t>
      </w:r>
    </w:p>
    <w:p>
      <w:pPr>
        <w:ind w:firstLine="283"/>
      </w:pPr>
      <w:r>
        <w:t>Всем привет. Мы представляем проект по соревнованию VK Predict CMC Hackathon. Задача была табличная: по анонимизированным признакам пользователя нужно было предсказать его склонность к некоторому секретному событию.</w:t>
      </w:r>
    </w:p>
    <w:p>
      <w:pPr>
        <w:ind w:firstLine="283"/>
      </w:pPr>
      <w:r>
        <w:t>Формально это бинарная классификация, но практически мы решали задачу ранжирования: для каждого объекта нужно было выдать score, по которому положительные объекты должны оказаться выше отрицательных. Дальше расскажем, как мы разобрали данные, какие признаки добавляли, какие модели пробовали и почему в итоге основной прирост дали не одиночные модели, а аккуратные комбинации.</w:t>
      </w:r>
    </w:p>
    <w:p>
      <w:pPr>
        <w:pStyle w:val="Heading1"/>
      </w:pPr>
      <w:r>
        <w:t>Слайд 2. Формулировка задачи</w:t>
      </w:r>
    </w:p>
    <w:p>
      <w:pPr>
        <w:ind w:firstLine="283"/>
      </w:pPr>
      <w:r>
        <w:t>Задача устроена так: есть train с таргетом и test без таргета, нужно для каждого объекта из test посчитать вероятность или скор принадлежности к положительному классу. Важный момент: на leaderboard оценивается ROC-AUC, поэтому нас интересует не конкретный порог классификации, а порядок объектов.</w:t>
      </w:r>
    </w:p>
    <w:p>
      <w:pPr>
        <w:ind w:firstLine="283"/>
      </w:pPr>
      <w:r>
        <w:t>Если модель хорошо ранжирует пользователей, она получает высокий score даже без выбора порога. Основные сложности были в том, что признаки полностью анонимизированы, поэтому нельзя опираться на предметную интерпретацию колонок. Кроме того, положительный класс редкий, около полутора процентов, поэтому standard accuracy здесь бесполезна. Ещё один момент: одиночные признаки сами по себе слабые, поэтому сигнал приходится вытаскивать через комбинации признаков, нелинейные модели и ансамбли.</w:t>
      </w:r>
    </w:p>
    <w:p>
      <w:pPr>
        <w:pStyle w:val="Heading1"/>
      </w:pPr>
      <w:r>
        <w:t>Слайд 3. Данные и метрика</w:t>
      </w:r>
    </w:p>
    <w:p>
      <w:pPr>
        <w:ind w:firstLine="283"/>
      </w:pPr>
      <w:r>
        <w:t>В данных было примерно 248 тысяч строк в train и 106 тысяч строк в test. Признаков много — 1367, то есть задача достаточно широкая по числу колонок. Положительный класс занимает около 1.35%, поэтому дисбаланс довольно сильный.</w:t>
      </w:r>
    </w:p>
    <w:p>
      <w:pPr>
        <w:ind w:firstLine="283"/>
      </w:pPr>
      <w:r>
        <w:t>Метрика — ROC-AUC. Мы интерпретировали её как качество ранжирования: насколько часто случайный положительный объект получает score выше, чем случайный отрицательный. Из-за этого мы не подбирали порог для класса 0/1, а оптимизировали именно вероятностные предсказания и rank-предсказания. Это потом важно для блендов: можно смешивать не только вероятности моделей, но и их ранги.</w:t>
      </w:r>
    </w:p>
    <w:p>
      <w:pPr>
        <w:pStyle w:val="Heading1"/>
      </w:pPr>
      <w:r>
        <w:t>Слайд 4. EDA: базовая диагностика</w:t>
      </w:r>
    </w:p>
    <w:p>
      <w:pPr>
        <w:ind w:firstLine="283"/>
      </w:pPr>
      <w:r>
        <w:t>Сначала мы сделали базовую диагностику данных. Проверили размерности train и test, баланс таргета, типы признаков, пропуски, квазиконстантные признаки и корреляции между колонками.</w:t>
      </w:r>
    </w:p>
    <w:p>
      <w:pPr>
        <w:ind w:firstLine="283"/>
      </w:pPr>
      <w:r>
        <w:t>Главные выводы такие. Явных NaN в данных не было, то есть отдельная стратегия импутации не понадобилась. Нашли и удалили несколько квазиконстантных признаков, которые почти ничего не меняют от объекта к объекту. Также нашли группу сильно похожих признаков — фактически признаки-близнецы. Это важно, потому что такие колонки могут добавлять шум и переобучение, особенно в линейных моделях.</w:t>
      </w:r>
    </w:p>
    <w:p>
      <w:pPr>
        <w:ind w:firstLine="283"/>
      </w:pPr>
      <w:r>
        <w:t>Ещё проверяли совпадающие строки между train и test. Такие совпадения есть, но использовать их напрямую как решение нельзя: это скорее сигнал о структуре данных и возможном drift, чем полноценная утечка таргета.</w:t>
      </w:r>
    </w:p>
    <w:p>
      <w:pPr>
        <w:pStyle w:val="Heading1"/>
      </w:pPr>
      <w:r>
        <w:t>Слайд 5. EDA: структура признаков</w:t>
      </w:r>
    </w:p>
    <w:p>
      <w:pPr>
        <w:ind w:firstLine="283"/>
      </w:pPr>
      <w:r>
        <w:t>Дальше мы посмотрели на сами признаки. Так как названий и семантики нет, мы оценивали их статистически: распределения, долю нулей, хвосты, выбросы, корреляции с таргетом и различия между train и test.</w:t>
      </w:r>
    </w:p>
    <w:p>
      <w:pPr>
        <w:ind w:firstLine="283"/>
      </w:pPr>
      <w:r>
        <w:t>По распределениям видно, что часть признаков похожа на дискретные счётчики, часть — на непрерывные метрики. У многих признаков высокая доля нулей, а у некоторых сильных признаков есть тяжёлые хвосты. Это подсказывает, что простые линейные зависимости не поймают весь сигнал.</w:t>
      </w:r>
    </w:p>
    <w:p>
      <w:pPr>
        <w:ind w:firstLine="283"/>
      </w:pPr>
      <w:r>
        <w:t>Поэтому мы не стали выбирать один «идеальный» набор колонок. Вместо этого сделали несколько feature spaces: чистые наборы, top-N по важности, drift-aware наборы, compact-представления через PCA/SVD и наборы с дополнительными encoding-признаками.</w:t>
      </w:r>
    </w:p>
    <w:p>
      <w:pPr>
        <w:pStyle w:val="Heading1"/>
      </w:pPr>
      <w:r>
        <w:t>Слайд 6. Feature engineering</w:t>
      </w:r>
    </w:p>
    <w:p>
      <w:pPr>
        <w:ind w:firstLine="283"/>
      </w:pPr>
      <w:r>
        <w:t>В feature engineering мы добавляли несколько типов признаков. Первый — frequency encoding: для значений признака считаем, насколько часто они встречаются. Это полезно, если сам факт редкого или частого значения несёт сигнал.</w:t>
      </w:r>
    </w:p>
    <w:p>
      <w:pPr>
        <w:ind w:firstLine="283"/>
      </w:pPr>
      <w:r>
        <w:t>Второй тип — rank-преобразования. Они делают представление более устойчивым к масштабу и выбросам: вместо абсолютного значения модель видит порядок объекта внутри признака.</w:t>
      </w:r>
    </w:p>
    <w:p>
      <w:pPr>
        <w:ind w:firstLine="283"/>
      </w:pPr>
      <w:r>
        <w:t>Также пробовали OOF target encoding, чтобы не занести утечку. Для каждого фолда encoding считается только по обучающей части, а затем применяется к validation.</w:t>
      </w:r>
    </w:p>
    <w:p>
      <w:pPr>
        <w:ind w:firstLine="283"/>
      </w:pPr>
      <w:r>
        <w:t>Кроме этого, использовали PCA/SVD и compact stack-признаки. Идея была не просто уменьшить размерность, а получить альтернативное представление данных, которое может быть полезно для других моделей. В итоге мы оставляли несколько пространств признаков, потому что разные модели на них ошибались по-разному, а это важно для ансамбля.</w:t>
      </w:r>
    </w:p>
    <w:p>
      <w:pPr>
        <w:pStyle w:val="Heading1"/>
      </w:pPr>
      <w:r>
        <w:t>Слайд 7. Валидационная схема</w:t>
      </w:r>
    </w:p>
    <w:p>
      <w:pPr>
        <w:ind w:firstLine="283"/>
      </w:pPr>
      <w:r>
        <w:t>Валидацию строили через стратифицированные фолды, чтобы доля положительного класса была примерно одинаковой в каждом фолде. Для моделей считали OOF-предсказания: каждый объект получает предсказание от модели, которая не видела его в обучении.</w:t>
      </w:r>
    </w:p>
    <w:p>
      <w:pPr>
        <w:ind w:firstLine="283"/>
      </w:pPr>
      <w:r>
        <w:t>Это важно для двух вещей. Во-первых, так мы честнее оцениваем качество модели. Во-вторых, OOF-предсказания можно использовать для stacker-а и подбора весов бленда.</w:t>
      </w:r>
    </w:p>
    <w:p>
      <w:pPr>
        <w:ind w:firstLine="283"/>
      </w:pPr>
      <w:r>
        <w:t>При этом мы заметили, что некоторые старые локальные OOF-скоры были завышены из-за неидеальной схемы feature engineering. Поэтому в финальной интерпретации мы больше ориентировались на leaderboard private score, а валидацию использовали как инструмент отбора и проверки стабильности, а не как абсолютную истину.</w:t>
      </w:r>
    </w:p>
    <w:p>
      <w:pPr>
        <w:pStyle w:val="Heading1"/>
      </w:pPr>
      <w:r>
        <w:t>Слайд 8. Одиночные модели: большое сравнение</w:t>
      </w:r>
    </w:p>
    <w:p>
      <w:pPr>
        <w:ind w:firstLine="283"/>
      </w:pPr>
      <w:r>
        <w:t>Мы пробовали довольно широкий набор одиночных моделей. Из классических моделей были Logistic Regression, SGD, Random Forest, ExtraTrees, HistGradientBoosting. Из бустингов — LightGBM, XGBoost, CatBoost, плюс FLAML как AutoML baseline. Также пробовали MLP и табличные нейросетевые подходы, но они оказались менее стабильными.</w:t>
      </w:r>
    </w:p>
    <w:p>
      <w:pPr>
        <w:ind w:firstLine="283"/>
      </w:pPr>
      <w:r>
        <w:t>По private test одиночные модели распределились примерно так. Лучший результат среди одиночных моделей дал LightGBM на top500 engineered features — 0.69074 private. LightGBM DART дал 0.68889. XGBoost на PCA/SVD/stack-признаках дал 0.68315. CatBoost на compact stack-признаках — 0.68306. ExtraTrees на PCA/SVD/stack — 0.68290. HistGradientBoosting — 0.67825. Логистическая регрессия на compact features была около 0.66755.</w:t>
      </w:r>
    </w:p>
    <w:p>
      <w:pPr>
        <w:ind w:firstLine="283"/>
      </w:pPr>
      <w:r>
        <w:t>Более слабые модели тоже важны для сравнения: CatBoost на peak frequency/TE features дал около 0.66065, ExtraTrees v3 — 0.64891, MLP — 0.62135, SGD — 0.61849, а LightGBM в random-forest режиме — около 0.57981. Это показывает, что не любой ансамбль деревьев автоматически работает хорошо: важны и feature space, и режим обучения.</w:t>
      </w:r>
    </w:p>
    <w:p>
      <w:pPr>
        <w:pStyle w:val="Heading1"/>
      </w:pPr>
      <w:r>
        <w:t>Слайд 9. Одиночные модели: лучшие результаты</w:t>
      </w:r>
    </w:p>
    <w:p>
      <w:pPr>
        <w:ind w:firstLine="283"/>
      </w:pPr>
      <w:r>
        <w:t>Если смотреть на топ одиночных моделей, видно, что лучшие решения в основном принадлежат LightGBM и близким бустинговым вариантам. Самый сильный одиночный сабмит — lgb_top500_engineered, private 0.69074 и public 0.65790. Следом идёт lgb_peak_dart с private 0.68889 и public 0.65463.</w:t>
      </w:r>
    </w:p>
    <w:p>
      <w:pPr>
        <w:ind w:firstLine="283"/>
      </w:pPr>
      <w:r>
        <w:t>Интересно, что у части моделей private заметно выше public. Например, у LightGBM top500 private 0.69074 против public 0.65790. Это означает, что public leaderboard был не очень надёжной оценкой финального качества. Поэтому подбирать решение только под public score было рискованно.</w:t>
      </w:r>
    </w:p>
    <w:p>
      <w:pPr>
        <w:ind w:firstLine="283"/>
      </w:pPr>
      <w:r>
        <w:t>Главный вывод по одиночным моделям: хорошие бустинги дают район 0.68–0.69 ROC-AUC на private, но дальше качество упирается. Чтобы пробить этот потолок, нужно использовать разнородность моделей и признаковых пространств.</w:t>
      </w:r>
    </w:p>
    <w:p>
      <w:pPr>
        <w:pStyle w:val="Heading1"/>
      </w:pPr>
      <w:r>
        <w:t>Слайд 10. Бленды: зачем и как</w:t>
      </w:r>
    </w:p>
    <w:p>
      <w:pPr>
        <w:ind w:firstLine="283"/>
      </w:pPr>
      <w:r>
        <w:t>Дальше мы перешли к блендам. Мотивация простая: разные модели ловят разные части сигнала и по-разному ошибаются. Например, LightGBM хорошо работает на top features, DART добавляет разнообразие за счёт dropout boosting, XGBoost и CatBoost дают другие границы решений, а линейные модели и FLAML могут добавить более гладкий сигнал.</w:t>
      </w:r>
    </w:p>
    <w:p>
      <w:pPr>
        <w:ind w:firstLine="283"/>
      </w:pPr>
      <w:r>
        <w:t>Мы пробовали несколько типов комбинаций. Самый простой — equal blend, когда берём среднее вероятностей нескольких лучших моделей. Второй вариант — AUC-weighted blend, где моделям с лучшим OOF даётся больший вес. Третий вариант — rank blend, когда смешиваются не вероятности, а ранги предсказаний. Это иногда устойчивее, потому что ROC-AUC зависит именно от порядка.</w:t>
      </w:r>
    </w:p>
    <w:p>
      <w:pPr>
        <w:ind w:firstLine="283"/>
      </w:pPr>
      <w:r>
        <w:t>Ещё пробовали random search по весам и logistic stacker на OOF-предсказаниях. Важно, что веса подбирались не по test, а через OOF/validation. При этом validation использовали осторожно, потому что часть старых OOF-оценок была оптимистичной.</w:t>
      </w:r>
    </w:p>
    <w:p>
      <w:pPr>
        <w:pStyle w:val="Heading1"/>
      </w:pPr>
      <w:r>
        <w:t>Слайд 11. Бленды и комбинации: полученные скоры</w:t>
      </w:r>
    </w:p>
    <w:p>
      <w:pPr>
        <w:ind w:firstLine="283"/>
      </w:pPr>
      <w:r>
        <w:t>На блендах мы получили несколько близких результатов. По одной финальной серии комбинаций private score были примерно: 0.70354, 0.70358, 0.70350, 0.70393, 0.70340 и 0.70380. Public при этом был ниже — примерно от 0.67877 до 0.68174. Это хорошо показывает разницу между public и private: public мог недооценивать хорошие решения.</w:t>
      </w:r>
    </w:p>
    <w:p>
      <w:pPr>
        <w:ind w:firstLine="283"/>
      </w:pPr>
      <w:r>
        <w:t>Отдельно по сохранённым submission reports видно, что не все бленды лучше одиночных моделей. Например, logistic stacker probability давал 0.68882 private, random-search probability blend — 0.68497, equal probability blend — 0.68443, AUC-weighted probability blend — 0.68436. То есть простое смешивание не гарантирует прирост.</w:t>
      </w:r>
    </w:p>
    <w:p>
      <w:pPr>
        <w:ind w:firstLine="283"/>
      </w:pPr>
      <w:r>
        <w:t>Но когда удавалось подобрать действительно удачную комбинацию разнородных предсказаний, качество поднималось выше одиночных моделей: финальный лучший blend достиг 0.70878 private ROC-AUC. Поэтому главный смысл ансамблирования был не в том, чтобы смешать всё подряд, а в том, чтобы найти устойчивое сочетание моделей с разными ошибками.</w:t>
      </w:r>
    </w:p>
    <w:p>
      <w:pPr>
        <w:pStyle w:val="Heading1"/>
      </w:pPr>
      <w:r>
        <w:t>Слайд 12. Итог на private test</w:t>
      </w:r>
    </w:p>
    <w:p>
      <w:pPr>
        <w:ind w:firstLine="283"/>
      </w:pPr>
      <w:r>
        <w:t>Итоговая картина такая. Лучшие одиночные модели дают примерно 0.69 private ROC-AUC. Это уже неплохой уровень для анонимизированной табличной задачи с сильным дисбалансом. Лучший одиночный результат у нас был около 0.69074.</w:t>
      </w:r>
    </w:p>
    <w:p>
      <w:pPr>
        <w:ind w:firstLine="283"/>
      </w:pPr>
      <w:r>
        <w:t>Комбинации моделей дали прирост. Часть промежуточных комбинаций была в районе 0.703–0.704 private, а лучший финальный blend — 0.70878. То есть прирост относительно лучшей одиночной модели составил примерно 0.018 ROC-AUC.</w:t>
      </w:r>
    </w:p>
    <w:p>
      <w:pPr>
        <w:ind w:firstLine="283"/>
      </w:pPr>
      <w:r>
        <w:t>Для ROC-AUC такой прирост на leaderboard заметный, особенно когда речь не о новом источнике данных, а только о более аккуратной работе с признаками, валидацией и ансамблями.</w:t>
      </w:r>
    </w:p>
    <w:p>
      <w:pPr>
        <w:pStyle w:val="Heading1"/>
      </w:pPr>
      <w:r>
        <w:t>Слайд 13. Что сработало и что нет</w:t>
      </w:r>
    </w:p>
    <w:p>
      <w:pPr>
        <w:ind w:firstLine="283"/>
      </w:pPr>
      <w:r>
        <w:t>Из того, что сработало, первое — сильные бустинги на разных feature spaces. Особенно LightGBM в нескольких вариантах: top500 engineered, DART, regularized, nodrift.</w:t>
      </w:r>
    </w:p>
    <w:p>
      <w:pPr>
        <w:ind w:firstLine="283"/>
      </w:pPr>
      <w:r>
        <w:t>Второе — OOF-подход. Он позволил делать target encoding, meta-features и stacker без прямой утечки по validation.</w:t>
      </w:r>
    </w:p>
    <w:p>
      <w:pPr>
        <w:ind w:firstLine="283"/>
      </w:pPr>
      <w:r>
        <w:t>Третье — разнородные представления признаков. Один набор признаков не был универсально лучшим, но разные наборы помогали делать более разнообразные модели для бленда.</w:t>
      </w:r>
    </w:p>
    <w:p>
      <w:pPr>
        <w:ind w:firstLine="283"/>
      </w:pPr>
      <w:r>
        <w:t>Что не сработало устойчиво: ставка на один «лучший» датасет, агрессивный подбор под public leaderboard, слабые нейросети без серьёзной регуляризации и слишком простые модели. MLP, SGD и LightGBM RF оказались заметно хуже бустингов и хороших комбинаций.</w:t>
      </w:r>
    </w:p>
    <w:p>
      <w:pPr>
        <w:pStyle w:val="Heading1"/>
      </w:pPr>
      <w:r>
        <w:t>Слайд 14. Выводы</w:t>
      </w:r>
    </w:p>
    <w:p>
      <w:pPr>
        <w:ind w:firstLine="283"/>
      </w:pPr>
      <w:r>
        <w:t>В итоге мы построили полный ML-пайплайн для табличной бинарной классификации с сильным дисбалансом классов.</w:t>
      </w:r>
    </w:p>
    <w:p>
      <w:pPr>
        <w:ind w:firstLine="283"/>
      </w:pPr>
      <w:r>
        <w:t>EDA показал, что данные сложные: признаки анонимизированы, одиночный сигнал слабый, есть избыточность и различия между train и test. Feature engineering помог построить несколько полезных пространств признаков.</w:t>
      </w:r>
    </w:p>
    <w:p>
      <w:pPr>
        <w:ind w:firstLine="283"/>
      </w:pPr>
      <w:r>
        <w:t>По моделям лучший класс решений — градиентные бустинги, особенно LightGBM и его варианты. Лучшие одиночные модели вышли примерно на уровень 0.69 private ROC-AUC.</w:t>
      </w:r>
    </w:p>
    <w:p>
      <w:pPr>
        <w:ind w:firstLine="283"/>
      </w:pPr>
      <w:r>
        <w:t>Финальный прирост дали ансамбли: разные модели и разные feature spaces ошибались не одинаково, поэтому блендинг позволил подняться до 0.70878 private ROC-AUC. Главный практический вывод: для такой задачи важнее не одна супер-модель, а честная валидация, разнообразие моделей и аккуратная проверка ансамблей.</w:t>
      </w:r>
    </w:p>
    <w:p>
      <w:pPr>
        <w:pStyle w:val="Heading1"/>
      </w:pPr>
      <w:r>
        <w:t>Слайд 15. Спасибо за внимание</w:t>
      </w:r>
    </w:p>
    <w:p>
      <w:pPr>
        <w:ind w:firstLine="283"/>
      </w:pPr>
      <w:r>
        <w:t>На этом всё. Спасибо за внимание. Если коротко резюмировать весь проект в одну фразу: мы начали с анонимизированной табличной задачи, через EDA и feature engineering построили несколько сильных одиночных моделей, а лучший результат получили за счёт ансамблирования разнородных предсказаний. Готовы ответить на вопросы.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1F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1F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B1F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