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Arial" w:cs="Arial" w:eastAsia="Arial" w:hAnsi="Arial"/>
          <w:b/>
          <w:bCs/>
          <w:color w:val="0057A8"/>
          <w:sz w:val="29"/>
          <w:szCs w:val="29"/>
        </w:rPr>
        <w:t xml:space="preserve">EVOLUÇÃO MÉDICA UTI ADULTO</w:t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667085"/>
          <w:sz w:val="16"/>
          <w:szCs w:val="16"/>
        </w:rPr>
        <w:t xml:space="preserve">MODELO INSTITUCIONAL EDITÁVEL</w:t>
      </w:r>
    </w:p>
    <w:p>
      <w:pPr>
        <w:keepNext/>
        <w:pBdr>
          <w:bottom w:val="single" w:color="0057A8" w:sz="5" w:space="3"/>
        </w:pBdr>
        <w:spacing w:before="0" w:after="55"/>
      </w:pPr>
      <w:r>
        <w:rPr>
          <w:rFonts w:ascii="Arial" w:cs="Arial" w:eastAsia="Arial" w:hAnsi="Arial"/>
          <w:b/>
          <w:bCs/>
          <w:color w:val="17324D"/>
          <w:sz w:val="21"/>
          <w:szCs w:val="21"/>
        </w:rPr>
        <w:t xml:space="preserve">DIAGNÓSTICOS: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keepNext/>
        <w:pBdr>
          <w:bottom w:val="single" w:color="0057A8" w:sz="5" w:space="3"/>
        </w:pBdr>
        <w:spacing w:before="160" w:after="55"/>
      </w:pPr>
      <w:r>
        <w:rPr>
          <w:rFonts w:ascii="Arial" w:cs="Arial" w:eastAsia="Arial" w:hAnsi="Arial"/>
          <w:b/>
          <w:bCs/>
          <w:color w:val="17324D"/>
          <w:sz w:val="21"/>
          <w:szCs w:val="21"/>
        </w:rPr>
        <w:t xml:space="preserve">PROBLEMAS ATIVOS: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keepNext/>
        <w:pBdr>
          <w:bottom w:val="single" w:color="0057A8" w:sz="5" w:space="3"/>
        </w:pBdr>
        <w:spacing w:before="160" w:after="55"/>
      </w:pPr>
      <w:r>
        <w:rPr>
          <w:rFonts w:ascii="Arial" w:cs="Arial" w:eastAsia="Arial" w:hAnsi="Arial"/>
          <w:b/>
          <w:bCs/>
          <w:color w:val="17324D"/>
          <w:sz w:val="21"/>
          <w:szCs w:val="21"/>
        </w:rPr>
        <w:t xml:space="preserve">HPP: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keepNext/>
        <w:pBdr>
          <w:bottom w:val="single" w:color="0057A8" w:sz="5" w:space="3"/>
        </w:pBdr>
        <w:spacing w:before="160" w:after="55"/>
      </w:pPr>
      <w:r>
        <w:rPr>
          <w:rFonts w:ascii="Arial" w:cs="Arial" w:eastAsia="Arial" w:hAnsi="Arial"/>
          <w:b/>
          <w:bCs/>
          <w:color w:val="17324D"/>
          <w:sz w:val="21"/>
          <w:szCs w:val="21"/>
        </w:rPr>
        <w:t xml:space="preserve">ALERGIAS: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keepNext/>
        <w:pBdr>
          <w:bottom w:val="single" w:color="0057A8" w:sz="5" w:space="3"/>
        </w:pBdr>
        <w:spacing w:before="160" w:after="55"/>
      </w:pPr>
      <w:r>
        <w:rPr>
          <w:rFonts w:ascii="Arial" w:cs="Arial" w:eastAsia="Arial" w:hAnsi="Arial"/>
          <w:b/>
          <w:bCs/>
          <w:color w:val="17324D"/>
          <w:sz w:val="21"/>
          <w:szCs w:val="21"/>
        </w:rPr>
        <w:t xml:space="preserve">MEDICAÇÕES DE USO DIÁRIO: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keepNext/>
        <w:pBdr>
          <w:bottom w:val="single" w:color="0057A8" w:sz="5" w:space="3"/>
        </w:pBdr>
        <w:spacing w:before="160" w:after="55"/>
      </w:pPr>
      <w:r>
        <w:rPr>
          <w:rFonts w:ascii="Arial" w:cs="Arial" w:eastAsia="Arial" w:hAnsi="Arial"/>
          <w:b/>
          <w:bCs/>
          <w:color w:val="17324D"/>
          <w:sz w:val="21"/>
          <w:szCs w:val="21"/>
        </w:rPr>
        <w:t xml:space="preserve">HISTÓRIA CLÍNICA:</w:t>
      </w:r>
    </w:p>
    <w:p>
      <w:pPr>
        <w:spacing w:after="80" w:line="250"/>
      </w:pPr>
      <w:r>
        <w:rPr>
          <w:rFonts w:ascii="Arial" w:cs="Arial" w:eastAsia="Arial" w:hAnsi="Arial"/>
          <w:i/>
          <w:iCs/>
          <w:color w:val="667085"/>
          <w:sz w:val="19"/>
          <w:szCs w:val="19"/>
        </w:rPr>
        <w:t xml:space="preserve">PACIENTE ENCAMINHADO DA HEMODINÂMICA APÓS CATETERISMO CARDÍACO ELETIVO COM MÚLTIPLAS LESÕES – PACIENTE ASSINTOMÁTICO E SEM QUEIXAS.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keepNext/>
        <w:pBdr>
          <w:bottom w:val="single" w:color="0057A8" w:sz="5" w:space="3"/>
        </w:pBdr>
        <w:spacing w:before="160" w:after="55"/>
      </w:pPr>
      <w:r>
        <w:rPr>
          <w:rFonts w:ascii="Arial" w:cs="Arial" w:eastAsia="Arial" w:hAnsi="Arial"/>
          <w:b/>
          <w:bCs/>
          <w:color w:val="17324D"/>
          <w:sz w:val="21"/>
          <w:szCs w:val="21"/>
        </w:rPr>
        <w:t xml:space="preserve">EVOLUÇÃO MÉDICA:</w:t>
      </w:r>
    </w:p>
    <w:p>
      <w:pPr>
        <w:spacing w:after="80" w:line="250"/>
      </w:pPr>
      <w:r>
        <w:rPr>
          <w:rFonts w:ascii="Arial" w:cs="Arial" w:eastAsia="Arial" w:hAnsi="Arial"/>
          <w:i/>
          <w:iCs/>
          <w:color w:val="667085"/>
          <w:sz w:val="19"/>
          <w:szCs w:val="19"/>
        </w:rPr>
        <w:t xml:space="preserve">19H PACIENTE CRÍTICO CRÔNICO, HEMODINAMICAMENTE ESTÁVEL, …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keepNext/>
        <w:pBdr>
          <w:bottom w:val="single" w:color="0057A8" w:sz="5" w:space="3"/>
        </w:pBdr>
        <w:spacing w:before="160" w:after="55"/>
      </w:pPr>
      <w:r>
        <w:rPr>
          <w:rFonts w:ascii="Arial" w:cs="Arial" w:eastAsia="Arial" w:hAnsi="Arial"/>
          <w:b/>
          <w:bCs/>
          <w:color w:val="17324D"/>
          <w:sz w:val="21"/>
          <w:szCs w:val="21"/>
        </w:rPr>
        <w:t xml:space="preserve">EXAME FÍSICO: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keepNext/>
        <w:pageBreakBefore/>
        <w:pBdr>
          <w:bottom w:val="single" w:color="0057A8" w:sz="5" w:space="3"/>
        </w:pBdr>
        <w:spacing w:before="160" w:after="55"/>
      </w:pPr>
      <w:r>
        <w:rPr>
          <w:rFonts w:ascii="Arial" w:cs="Arial" w:eastAsia="Arial" w:hAnsi="Arial"/>
          <w:b/>
          <w:bCs/>
          <w:color w:val="17324D"/>
          <w:sz w:val="21"/>
          <w:szCs w:val="21"/>
        </w:rPr>
        <w:t xml:space="preserve">PLANO TERAPÊUTICO: AÇÃO E PRAZO/DURAÇÃO (COM GERENCIAMENTO DIÁRIO):</w:t>
      </w:r>
    </w:p>
    <w:p>
      <w:pPr>
        <w:pStyle w:val="ListParagraph"/>
        <w:numPr>
          <w:ilvl w:val="0"/>
          <w:numId w:val="2"/>
        </w:numPr>
        <w:spacing w:after="70" w:line="245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FREQUÊNCIA DOS SINAIS VITAIS: 3/3H PELAS PRÓXIMAS 12H. CURVA TÉRMICA 4/4H. GLICEMIA 6/6H.</w:t>
      </w:r>
    </w:p>
    <w:p>
      <w:pPr>
        <w:pStyle w:val="ListParagraph"/>
        <w:numPr>
          <w:ilvl w:val="0"/>
          <w:numId w:val="2"/>
        </w:numPr>
        <w:spacing w:after="70" w:line="245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TERAPIA FARMACOLÓGICA OTIMIZADA DAC, CONFORME ESTRATIFICAÇÃO CARDIOLÓGICA.</w:t>
      </w:r>
    </w:p>
    <w:p>
      <w:pPr>
        <w:pStyle w:val="ListParagraph"/>
        <w:numPr>
          <w:ilvl w:val="0"/>
          <w:numId w:val="2"/>
        </w:numPr>
        <w:spacing w:after="70" w:line="245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MANTER DIETA APORTE NUTRICIONAL POR VIA SNE, CONFORME ACEITAÇÃO E TOLERÂNCIA ALIMENTAR.</w:t>
      </w:r>
    </w:p>
    <w:p>
      <w:pPr>
        <w:pStyle w:val="ListParagraph"/>
        <w:numPr>
          <w:ilvl w:val="0"/>
          <w:numId w:val="2"/>
        </w:numPr>
        <w:spacing w:after="70" w:line="245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MANTER CONTROLE GLICÊMICO RIGOROSO, COM META DE GLICEMIA ENTRE 140 A 180 MG/DL DURANTE INTERNAÇÃO.</w:t>
      </w:r>
    </w:p>
    <w:p>
      <w:pPr>
        <w:pStyle w:val="ListParagraph"/>
        <w:numPr>
          <w:ilvl w:val="0"/>
          <w:numId w:val="2"/>
        </w:numPr>
        <w:spacing w:after="70" w:line="245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MONITORIZAÇÃO CLÍNICA E LABORATORIAL DIÁRIA, COM AJUSTE TERAPÊUTICO CONFORME EVOLUÇÃO.</w:t>
      </w:r>
    </w:p>
    <w:p>
      <w:pPr>
        <w:pStyle w:val="ListParagraph"/>
        <w:numPr>
          <w:ilvl w:val="0"/>
          <w:numId w:val="2"/>
        </w:numPr>
        <w:spacing w:after="70" w:line="245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MEDIDAS CLÍNICAS PARA PREVENÇÃO DE INJÚRIA RENAL, CONTROLE DA FUNÇÃO RENAL, COM ACOMPANHAMENTO DA NEFROLOGIA.</w:t>
      </w:r>
    </w:p>
    <w:p>
      <w:pPr>
        <w:pStyle w:val="ListParagraph"/>
        <w:numPr>
          <w:ilvl w:val="0"/>
          <w:numId w:val="2"/>
        </w:numPr>
        <w:spacing w:after="70" w:line="245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ACOMPANHAMENTO DA CIRURGIA CARDÍACA.</w:t>
      </w:r>
    </w:p>
    <w:p>
      <w:pPr>
        <w:pStyle w:val="ListParagraph"/>
        <w:numPr>
          <w:ilvl w:val="0"/>
          <w:numId w:val="2"/>
        </w:numPr>
        <w:spacing w:after="70" w:line="245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PROGRAMAÇÃO DE ALTA: SEM PREVISÃO DE ALTA.</w:t>
      </w:r>
    </w:p>
    <w:p>
      <w:pPr>
        <w:pStyle w:val="ListParagraph"/>
        <w:numPr>
          <w:ilvl w:val="0"/>
          <w:numId w:val="2"/>
        </w:numPr>
        <w:spacing w:after="70" w:line="245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ACOLHIMENTO E COMUNICAÇÃO ASSISTENCIAL REALIZADOS COM PACIENTE E FAMILIAR, INFORMADOS ACERCA DO DIAGNÓSTICO, PLANO TERAPÊUTICO, METAS ASSISTENCIAIS E PROGRAMAÇÃO DE CUIDADOS, COM ESCLARECIMENTO DAS DÚVIDAS APRESENTADAS.</w:t>
      </w:r>
    </w:p>
    <w:p>
      <w:pPr>
        <w:keepNext/>
        <w:pBdr>
          <w:bottom w:val="single" w:color="0057A8" w:sz="5" w:space="3"/>
        </w:pBdr>
        <w:spacing w:before="160" w:after="55"/>
      </w:pPr>
      <w:r>
        <w:rPr>
          <w:rFonts w:ascii="Arial" w:cs="Arial" w:eastAsia="Arial" w:hAnsi="Arial"/>
          <w:b/>
          <w:bCs/>
          <w:color w:val="17324D"/>
          <w:sz w:val="21"/>
          <w:szCs w:val="21"/>
        </w:rPr>
        <w:t xml:space="preserve">METAS/CONDUTAS DO DIA:</w:t>
      </w:r>
    </w:p>
    <w:p>
      <w:pPr>
        <w:pStyle w:val="ListParagraph"/>
        <w:numPr>
          <w:ilvl w:val="0"/>
          <w:numId w:val="2"/>
        </w:numPr>
        <w:spacing w:after="70" w:line="245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AJUSTE DOS ANTI-HIPERTENSIVOS (INÍCIO CLONIDINA).</w:t>
      </w:r>
    </w:p>
    <w:p>
      <w:pPr>
        <w:pStyle w:val="ListParagraph"/>
        <w:numPr>
          <w:ilvl w:val="0"/>
          <w:numId w:val="2"/>
        </w:numPr>
        <w:spacing w:after="70" w:line="245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AJUSTE DA VMI.</w:t>
      </w:r>
    </w:p>
    <w:p>
      <w:pPr>
        <w:pStyle w:val="ListParagraph"/>
        <w:numPr>
          <w:ilvl w:val="0"/>
          <w:numId w:val="2"/>
        </w:numPr>
        <w:spacing w:after="70" w:line="245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SUPORTE INTENSIVO.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keepNext/>
        <w:pBdr>
          <w:bottom w:val="single" w:color="0057A8" w:sz="5" w:space="3"/>
        </w:pBdr>
        <w:spacing w:before="160" w:after="55"/>
      </w:pPr>
      <w:r>
        <w:rPr>
          <w:rFonts w:ascii="Arial" w:cs="Arial" w:eastAsia="Arial" w:hAnsi="Arial"/>
          <w:b/>
          <w:bCs/>
          <w:color w:val="17324D"/>
          <w:sz w:val="21"/>
          <w:szCs w:val="21"/>
        </w:rPr>
        <w:t xml:space="preserve">GERENCIAMENTO DE RISCO</w:t>
      </w:r>
    </w:p>
    <w:p>
      <w:pPr>
        <w:spacing w:after="70" w:line="245"/>
      </w:pPr>
      <w:r>
        <w:rPr>
          <w:rFonts w:ascii="Arial" w:cs="Arial" w:eastAsia="Arial" w:hAnsi="Arial"/>
          <w:b/>
          <w:bCs/>
          <w:color w:val="17324D"/>
          <w:sz w:val="19"/>
          <w:szCs w:val="19"/>
        </w:rPr>
        <w:t xml:space="preserve">P – PROFILAXIAS: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TEV (HEPARINA) / ÚLCERA DE ESTRESSE (OMEPRAZOL).</w:t>
      </w:r>
    </w:p>
    <w:p>
      <w:pPr>
        <w:spacing w:after="70" w:line="245"/>
      </w:pPr>
      <w:r>
        <w:rPr>
          <w:rFonts w:ascii="Arial" w:cs="Arial" w:eastAsia="Arial" w:hAnsi="Arial"/>
          <w:b/>
          <w:bCs/>
          <w:color w:val="17324D"/>
          <w:sz w:val="19"/>
          <w:szCs w:val="19"/>
        </w:rPr>
        <w:t xml:space="preserve">U – LESÃO POR PRESSÃO: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PELÍCULA PROTETORA, MUDANÇA DE DECÚBITO 2/2H.</w:t>
      </w:r>
    </w:p>
    <w:p>
      <w:pPr>
        <w:spacing w:after="70" w:line="245"/>
      </w:pPr>
      <w:r>
        <w:rPr>
          <w:rFonts w:ascii="Arial" w:cs="Arial" w:eastAsia="Arial" w:hAnsi="Arial"/>
          <w:b/>
          <w:bCs/>
          <w:color w:val="17324D"/>
          <w:sz w:val="19"/>
          <w:szCs w:val="19"/>
        </w:rPr>
        <w:t xml:space="preserve">B – BRONCOASPIRAÇÃO: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MANTER CABECEIRA ELEVADA.</w:t>
      </w:r>
    </w:p>
    <w:p>
      <w:pPr>
        <w:spacing w:after="70" w:line="245"/>
      </w:pPr>
      <w:r>
        <w:rPr>
          <w:rFonts w:ascii="Arial" w:cs="Arial" w:eastAsia="Arial" w:hAnsi="Arial"/>
          <w:b/>
          <w:bCs/>
          <w:color w:val="17324D"/>
          <w:sz w:val="19"/>
          <w:szCs w:val="19"/>
        </w:rPr>
        <w:t xml:space="preserve">F – FLEBITE: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AVP &gt; MANTER VIGILÂNCIA.</w:t>
      </w:r>
    </w:p>
    <w:p>
      <w:pPr>
        <w:spacing w:after="70" w:line="245"/>
      </w:pPr>
      <w:r>
        <w:rPr>
          <w:rFonts w:ascii="Arial" w:cs="Arial" w:eastAsia="Arial" w:hAnsi="Arial"/>
          <w:b/>
          <w:bCs/>
          <w:color w:val="17324D"/>
          <w:sz w:val="19"/>
          <w:szCs w:val="19"/>
        </w:rPr>
        <w:t xml:space="preserve">I – INVASIVOS: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COM PERMICATH, SEM SINAIS DE INFECÇÃO.</w:t>
      </w:r>
    </w:p>
    <w:p>
      <w:pPr>
        <w:spacing w:after="70" w:line="245"/>
      </w:pPr>
      <w:r>
        <w:rPr>
          <w:rFonts w:ascii="Arial" w:cs="Arial" w:eastAsia="Arial" w:hAnsi="Arial"/>
          <w:b/>
          <w:bCs/>
          <w:color w:val="17324D"/>
          <w:sz w:val="19"/>
          <w:szCs w:val="19"/>
        </w:rPr>
        <w:t xml:space="preserve">S – SANGRAMENTO: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NÃO SE APLICA.</w:t>
      </w:r>
    </w:p>
    <w:p>
      <w:pPr>
        <w:spacing w:after="70" w:line="245"/>
      </w:pPr>
      <w:r>
        <w:rPr>
          <w:rFonts w:ascii="Arial" w:cs="Arial" w:eastAsia="Arial" w:hAnsi="Arial"/>
          <w:b/>
          <w:bCs/>
          <w:color w:val="17324D"/>
          <w:sz w:val="19"/>
          <w:szCs w:val="19"/>
        </w:rPr>
        <w:t xml:space="preserve">Q – QUEDAS: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GRADES ELEVADAS, RISCO DE QUEDA.</w:t>
      </w:r>
    </w:p>
    <w:p>
      <w:pPr>
        <w:spacing w:after="70" w:line="245"/>
      </w:pPr>
      <w:r>
        <w:rPr>
          <w:rFonts w:ascii="Arial" w:cs="Arial" w:eastAsia="Arial" w:hAnsi="Arial"/>
          <w:b/>
          <w:bCs/>
          <w:color w:val="17324D"/>
          <w:sz w:val="19"/>
          <w:szCs w:val="19"/>
        </w:rPr>
        <w:t xml:space="preserve">D – PROTOCOLO DE DOR (END):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BPS 3; DIPIRONA SE DOR LEVE A MODERADA (2–6 NA END), SE DOR INTENSA (7–8 DA END, TRAMADOL); SE PERSISTÊNCIA DA DOR OU ACIMA DE 8 DA END, ACIONAR MÉDICO.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dotted" w:color="CBD5E1" w:sz="2" w:space="1"/>
        </w:pBdr>
        <w:spacing w:after="55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sectPr>
      <w:headerReference w:type="default" r:id="rId6"/>
      <w:footerReference w:type="default" r:id="rId7"/>
      <w:pgSz w:w="11906" w:h="16838" w:orient="portrait"/>
      <w:pgMar w:top="1020" w:right="850" w:bottom="850" w:left="850" w:header="42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4"/>
      </w:pBdr>
      <w:jc w:val="center"/>
    </w:pPr>
    <w:r>
      <w:rPr>
        <w:rFonts w:ascii="Arial" w:cs="Arial" w:eastAsia="Arial" w:hAnsi="Arial"/>
        <w:color w:val="667085"/>
        <w:sz w:val="14"/>
        <w:szCs w:val="14"/>
      </w:rPr>
      <w:t xml:space="preserve">HAPMAP • MODELO INSTITUCIONAL • PÁGINA </w:t>
    </w:r>
    <w:r>
      <w:rPr>
        <w:rFonts w:ascii="Arial" w:cs="Arial" w:eastAsia="Arial" w:hAnsi="Arial"/>
        <w:color w:val="66708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7A8" w:sz="6" w:space="4"/>
      </w:pBdr>
      <w:tabs>
        <w:tab w:val="right" w:pos="10200"/>
      </w:tabs>
    </w:pPr>
    <w:r>
      <w:rPr>
        <w:rFonts w:ascii="Arial" w:cs="Arial" w:eastAsia="Arial" w:hAnsi="Arial"/>
        <w:b/>
        <w:bCs/>
        <w:color w:val="0057A8"/>
        <w:sz w:val="23"/>
        <w:szCs w:val="23"/>
      </w:rPr>
      <w:t xml:space="preserve">Hapvida</w:t>
    </w:r>
    <w:r>
      <w:rPr>
        <w:rFonts w:ascii="Arial" w:cs="Arial" w:eastAsia="Arial" w:hAnsi="Arial"/>
        <w:b/>
        <w:bCs/>
        <w:color w:val="17324D"/>
        <w:sz w:val="17"/>
        <w:szCs w:val="17"/>
      </w:rPr>
      <w:t xml:space="preserve">	UTI ADULTO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19"/>
        <w:szCs w:val="19"/>
      </w:rPr>
    </w:rPrDefault>
    <w:pPrDefault>
      <w:pPr>
        <w:spacing w:line="24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EVOLUÇÃO MÉDICA UTI ADULTO</dc:title>
  <dc:creator>HapMap</dc:creator>
  <dc:description>MODELO INSTITUCIONAL EDITÁVEL DE EVOLUÇÃO MÉDICA DA UTI ADULTO</dc:description>
  <cp:lastModifiedBy>Un-named</cp:lastModifiedBy>
  <cp:revision>1</cp:revision>
  <dcterms:created xsi:type="dcterms:W3CDTF">2026-09-19T12:15:24.009Z</dcterms:created>
  <dcterms:modified xsi:type="dcterms:W3CDTF">2026-09-19T12:15:24.010Z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