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Arial" w:cs="Arial" w:eastAsia="Arial" w:hAnsi="Arial"/>
          <w:b/>
          <w:bCs/>
          <w:color w:val="0057A8"/>
          <w:sz w:val="29"/>
          <w:szCs w:val="29"/>
        </w:rPr>
        <w:t xml:space="preserve">EVOLUÇÃO MÉDICA UTI ADULTO</w:t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667085"/>
          <w:sz w:val="16"/>
          <w:szCs w:val="16"/>
        </w:rPr>
        <w:t xml:space="preserve">MODELO INSTITUCIONAL EDITÁVEL</w:t>
      </w:r>
    </w:p>
    <w:p>
      <w:pPr>
        <w:keepNext/>
        <w:pBdr>
          <w:bottom w:val="single" w:color="0057A8" w:sz="5" w:space="3"/>
        </w:pBdr>
        <w:spacing w:before="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DIAGNÓSTICOS: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PROBLEMAS ATIVOS: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HPP: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ALERGIAS: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MEDICAÇÕES DE USO DIÁRIO: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HISTÓRIA CLÍNICA:</w:t>
      </w:r>
    </w:p>
    <w:p>
      <w:pPr>
        <w:spacing w:after="80" w:line="250"/>
      </w:pPr>
      <w:r>
        <w:rPr>
          <w:rFonts w:ascii="Arial" w:cs="Arial" w:eastAsia="Arial" w:hAnsi="Arial"/>
          <w:i/>
          <w:iCs/>
          <w:color w:val="667085"/>
          <w:sz w:val="19"/>
          <w:szCs w:val="19"/>
        </w:rPr>
        <w:t xml:space="preserve">PACIENTE ENCAMINHADO DA HEMODINÂMICA APÓS CATETERISMO CARDÍACO ELETIVO COM MÚLTIPLAS LESÕES – PACIENTE ASSINTOMÁTICO E SEM QUEIXAS.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EVOLUÇÃO MÉDICA:</w:t>
      </w:r>
    </w:p>
    <w:p>
      <w:pPr>
        <w:spacing w:after="80" w:line="250"/>
      </w:pPr>
      <w:r>
        <w:rPr>
          <w:rFonts w:ascii="Arial" w:cs="Arial" w:eastAsia="Arial" w:hAnsi="Arial"/>
          <w:i/>
          <w:iCs/>
          <w:color w:val="667085"/>
          <w:sz w:val="19"/>
          <w:szCs w:val="19"/>
        </w:rPr>
        <w:t xml:space="preserve">19H PACIENTE CRÍTICO CRÔNICO, HEMODINAMICAMENTE ESTÁVEL, …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EXAME FÍSICO: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PLANO TERAPÊUTICO: AÇÃO E PRAZO/DURAÇÃO (COM GERENCIAMENTO DIÁRIO):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FREQUÊNCIA DOS SINAIS VITAIS: 3/3H PELAS PRÓXIMAS 12H. CURVA TÉRMICA 4/4H. GLICEMIA 6/6H.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TERAPIA FARMACOLÓGICA OTIMIZADA DAC, CONFORME ESTRATIFICAÇÃO CARDIOLÓGICA.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MANTER DIETA APORTE NUTRICIONAL POR VIA SNE, CONFORME ACEITAÇÃO E TOLERÂNCIA ALIMENTAR.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MANTER CONTROLE GLICÊMICO RIGOROSO, COM META DE GLICEMIA ENTRE 140 A 180 MG/DL DURANTE INTERNAÇÃO.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MONITORIZAÇÃO CLÍNICA E LABORATORIAL DIÁRIA, COM AJUSTE TERAPÊUTICO CONFORME EVOLUÇÃO.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MEDIDAS CLÍNICAS PARA PREVENÇÃO DE INJÚRIA RENAL, CONTROLE DA FUNÇÃO RENAL, COM ACOMPANHAMENTO DA NEFROLOGIA.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ACOMPANHAMENTO DA CIRURGIA CARDÍACA.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PROGRAMAÇÃO DE ALTA: SEM PREVISÃO DE ALTA.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ACOLHIMENTO E COMUNICAÇÃO ASSISTENCIAL REALIZADOS COM PACIENTE E FAMILIAR, INFORMADOS ACERCA DO DIAGNÓSTICO, PLANO TERAPÊUTICO, METAS ASSISTENCIAIS E PROGRAMAÇÃO DE CUIDADOS, COM ESCLARECIMENTO DAS DÚVIDAS APRESENTADAS.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METAS/CONDUTAS DO DIA: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AJUSTE DOS ANTI-HIPERTENSIVOS (INÍCIO CLONIDINA).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AJUSTE DA VMI.</w:t>
      </w:r>
    </w:p>
    <w:p>
      <w:pPr>
        <w:pStyle w:val="ListParagraph"/>
        <w:numPr>
          <w:ilvl w:val="0"/>
          <w:numId w:val="2"/>
        </w:numPr>
        <w:spacing w:after="70" w:line="245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SUPORTE INTENSIVO.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keepNext/>
        <w:pBdr>
          <w:bottom w:val="single" w:color="0057A8" w:sz="5" w:space="3"/>
        </w:pBdr>
        <w:spacing w:before="160" w:after="55"/>
      </w:pPr>
      <w:r>
        <w:rPr>
          <w:rFonts w:ascii="Arial" w:cs="Arial" w:eastAsia="Arial" w:hAnsi="Arial"/>
          <w:b/>
          <w:bCs/>
          <w:color w:val="17324D"/>
          <w:sz w:val="21"/>
          <w:szCs w:val="21"/>
        </w:rPr>
        <w:t xml:space="preserve">GERENCIAMENTO DE RISCO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P – PROFILAXIAS: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TEV (HEPARINA) / ÚLCERA DE ESTRESSE (OMEPRAZOL).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U – LESÃO POR PRESSÃO: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PELÍCULA PROTETORA, MUDANÇA DE DECÚBITO 2/2H.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B – BRONCOASPIRAÇÃO: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MANTER CABECEIRA ELEVADA.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F – FLEBITE: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AVP &gt; MANTER VIGILÂNCIA.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I – INVASIVOS: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COM PERMICATH, SEM SINAIS DE INFECÇÃO.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S – SANGRAMENTO: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NÃO SE APLICA.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Q – QUEDAS: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GRADES ELEVADAS, RISCO DE QUEDA.</w:t>
      </w:r>
    </w:p>
    <w:p>
      <w:pPr>
        <w:spacing w:after="70" w:line="245"/>
      </w:pPr>
      <w:r>
        <w:rPr>
          <w:rFonts w:ascii="Arial" w:cs="Arial" w:eastAsia="Arial" w:hAnsi="Arial"/>
          <w:b/>
          <w:bCs/>
          <w:color w:val="17324D"/>
          <w:sz w:val="19"/>
          <w:szCs w:val="19"/>
        </w:rPr>
        <w:t xml:space="preserve">D – PROTOCOLO DE DOR (END):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BPS 3; DIPIRONA SE DOR LEVE A MODERADA (2–6 NA END), SE DOR INTENSA (7–8 DA END, TRAMADOL); SE PERSISTÊNCIA DA DOR OU ACIMA DE 8 DA END, ACIONAR MÉDICO.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p>
      <w:pPr>
        <w:pBdr>
          <w:bottom w:val="dotted" w:color="CBD5E1" w:sz="2" w:space="1"/>
        </w:pBdr>
        <w:spacing w:after="55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sectPr>
      <w:headerReference w:type="default" r:id="rId6"/>
      <w:footerReference w:type="default" r:id="rId7"/>
      <w:pgSz w:w="11906" w:h="16838" w:orient="portrait"/>
      <w:pgMar w:top="1020" w:right="850" w:bottom="850" w:left="850" w:header="4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3" w:space="4"/>
      </w:pBdr>
      <w:jc w:val="center"/>
    </w:pPr>
    <w:r>
      <w:rPr>
        <w:rFonts w:ascii="Arial" w:cs="Arial" w:eastAsia="Arial" w:hAnsi="Arial"/>
        <w:color w:val="667085"/>
        <w:sz w:val="14"/>
        <w:szCs w:val="14"/>
      </w:rPr>
      <w:t xml:space="preserve">HAPMAP • MODELO INSTITUCIONAL • PÁGINA </w:t>
    </w:r>
    <w:r>
      <w:rPr>
        <w:rFonts w:ascii="Arial" w:cs="Arial" w:eastAsia="Arial" w:hAnsi="Arial"/>
        <w:color w:val="66708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57A8" w:sz="6" w:space="4"/>
      </w:pBdr>
      <w:tabs>
        <w:tab w:val="right" w:pos="10200"/>
      </w:tabs>
    </w:pPr>
    <w:r>
      <w:rPr>
        <w:rFonts w:ascii="Arial" w:cs="Arial" w:eastAsia="Arial" w:hAnsi="Arial"/>
        <w:b/>
        <w:bCs/>
        <w:color w:val="0057A8"/>
        <w:sz w:val="23"/>
        <w:szCs w:val="23"/>
      </w:rPr>
      <w:t xml:space="preserve">Hapvida</w:t>
    </w:r>
    <w:r>
      <w:rPr>
        <w:rFonts w:ascii="Arial" w:cs="Arial" w:eastAsia="Arial" w:hAnsi="Arial"/>
        <w:b/>
        <w:bCs/>
        <w:color w:val="17324D"/>
        <w:sz w:val="17"/>
        <w:szCs w:val="17"/>
      </w:rPr>
      <w:t xml:space="preserve">	UTI ADULTO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19"/>
        <w:szCs w:val="19"/>
      </w:rPr>
    </w:rPrDefault>
    <w:pPrDefault>
      <w:pPr>
        <w:spacing w:line="24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EVOLUÇÃO MÉDICA UTI ADULTO</dc:title>
  <dc:creator>HapMap</dc:creator>
  <dc:description>MODELO INSTITUCIONAL EDITÁVEL DE EVOLUÇÃO MÉDICA DA UTI ADULTO</dc:description>
  <cp:lastModifiedBy>Un-named</cp:lastModifiedBy>
  <cp:revision>1</cp:revision>
  <dcterms:created xsi:type="dcterms:W3CDTF">2026-09-19T12:14:46.852Z</dcterms:created>
  <dcterms:modified xsi:type="dcterms:W3CDTF">2026-09-19T12:14:46.853Z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