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“感-通-算”一体化的跨域健康管理联邦孪生平台 安装部署手册</w:t>
      </w:r>
    </w:p>
    <w:p>
      <w:pPr>
        <w:pStyle w:val="Heading2"/>
      </w:pPr>
      <w:r>
        <w:t>系统要求</w:t>
      </w:r>
    </w:p>
    <w:p>
      <w:pPr>
        <w:pStyle w:val="Heading3"/>
      </w:pPr>
      <w:r>
        <w:t>联邦学习子系统</w:t>
      </w:r>
    </w:p>
    <w:p>
      <w:r>
        <w:rPr>
          <w:rFonts w:ascii="STSong" w:hAnsi="STSong" w:eastAsia="STSong" w:cs="STSong"/>
          <w:sz w:val="21"/>
        </w:rPr>
        <w:t>联邦学习子系统部署涉及 Web 前端、后端 接口（API） 服务、数据库/事件存储、对象或文件存储、任务调度/消息通道和运行时代理。基础操作系统、网络、证书、容器运行时和数据库要求建议在平台级安装部署手册中统一维护。</w:t>
      </w:r>
    </w:p>
    <w:p>
      <w:pPr>
        <w:pStyle w:val="Heading2"/>
      </w:pPr>
      <w:r>
        <w:t>常用软件安装</w:t>
      </w:r>
    </w:p>
    <w:p>
      <w:r>
        <w:rPr>
          <w:rFonts w:ascii="STSong" w:hAnsi="STSong" w:eastAsia="STSong" w:cs="STSong"/>
          <w:sz w:val="21"/>
        </w:rPr>
        <w:t>本节建议沿用平台级基础软件安装说明，不按子系统重复拆分。联邦学习子系统如需额外运行时、代理或模型仓库依赖，可在最终合并稿中补充。</w:t>
      </w:r>
    </w:p>
    <w:p>
      <w:pPr>
        <w:pStyle w:val="Heading2"/>
      </w:pPr>
      <w:r>
        <w:t>系统部署安装</w:t>
      </w:r>
    </w:p>
    <w:p>
      <w:pPr>
        <w:pStyle w:val="Heading3"/>
      </w:pPr>
      <w:r>
        <w:t>联邦学习子系统</w:t>
      </w:r>
    </w:p>
    <w:p>
      <w:pPr>
        <w:pStyle w:val="Heading4"/>
      </w:pPr>
      <w:r>
        <w:t>一、系统说明/FLP-DOC-SECTION</w:t>
      </w:r>
    </w:p>
    <w:p>
      <w:r>
        <w:rPr>
          <w:rFonts w:ascii="STSong" w:hAnsi="STSong" w:eastAsia="STSong" w:cs="STSong"/>
          <w:sz w:val="21"/>
        </w:rPr>
        <w:t>本手册说明如何将 联邦学习平台（Federation Learning Platform） 从未安装状态部署到可正常运行并通过验证的状态。文档重点说明装什么、装在哪里、依赖什么、怎么配置、怎么启动、怎么验证以及失败时如何处理。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项目</w:t>
            </w:r>
          </w:p>
        </w:tc>
        <w:tc>
          <w:tcPr>
            <w:tcW w:type="dxa" w:w="453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内容</w:t>
            </w:r>
          </w:p>
        </w:tc>
      </w:tr>
      <w:tr>
        <w:tc>
          <w:tcPr>
            <w:tcW w:type="dxa" w:w="45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系统名称</w:t>
            </w:r>
          </w:p>
        </w:tc>
        <w:tc>
          <w:tcPr>
            <w:tcW w:type="dxa" w:w="45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联邦学习平台（Federation Learning Platform）</w:t>
            </w:r>
          </w:p>
        </w:tc>
      </w:tr>
      <w:tr>
        <w:tc>
          <w:tcPr>
            <w:tcW w:type="dxa" w:w="45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软件版本</w:t>
            </w:r>
          </w:p>
        </w:tc>
        <w:tc>
          <w:tcPr>
            <w:tcW w:type="dxa" w:w="45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V0.1.0</w:t>
            </w:r>
          </w:p>
        </w:tc>
      </w:tr>
      <w:tr>
        <w:tc>
          <w:tcPr>
            <w:tcW w:type="dxa" w:w="45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手册版本</w:t>
            </w:r>
          </w:p>
        </w:tc>
        <w:tc>
          <w:tcPr>
            <w:tcW w:type="dxa" w:w="45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V0.1.0</w:t>
            </w:r>
          </w:p>
        </w:tc>
      </w:tr>
      <w:tr>
        <w:tc>
          <w:tcPr>
            <w:tcW w:type="dxa" w:w="45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发布日期</w:t>
            </w:r>
          </w:p>
        </w:tc>
        <w:tc>
          <w:tcPr>
            <w:tcW w:type="dxa" w:w="45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2026-08-28</w:t>
            </w:r>
          </w:p>
        </w:tc>
      </w:tr>
      <w:tr>
        <w:tc>
          <w:tcPr>
            <w:tcW w:type="dxa" w:w="45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适用部署方式</w:t>
            </w:r>
          </w:p>
        </w:tc>
        <w:tc>
          <w:tcPr>
            <w:tcW w:type="dxa" w:w="45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单机、Docker Compose 或 Kubernetes 部署；正式发布前确认最终交付方式。</w:t>
            </w:r>
          </w:p>
        </w:tc>
      </w:tr>
      <w:tr>
        <w:tc>
          <w:tcPr>
            <w:tcW w:type="dxa" w:w="45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目标读者</w:t>
            </w:r>
          </w:p>
        </w:tc>
        <w:tc>
          <w:tcPr>
            <w:tcW w:type="dxa" w:w="45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系统管理员、实施工程师和运维人员。</w:t>
            </w:r>
          </w:p>
        </w:tc>
      </w:tr>
      <w:tr>
        <w:tc>
          <w:tcPr>
            <w:tcW w:type="dxa" w:w="45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前置知识</w:t>
            </w:r>
          </w:p>
        </w:tc>
        <w:tc>
          <w:tcPr>
            <w:tcW w:type="dxa" w:w="453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具备基础 Linux、数据库、网络、证书和容器运行时操作知识。</w:t>
            </w:r>
          </w:p>
        </w:tc>
      </w:tr>
    </w:tbl>
    <w:p/>
    <w:p>
      <w:pPr>
        <w:pStyle w:val="Heading4"/>
      </w:pPr>
      <w:r>
        <w:t>二、部署架构/FLP-DOC-SECTION-2</w:t>
      </w:r>
    </w:p>
    <w:p>
      <w:pPr>
        <w:pStyle w:val="Heading5"/>
      </w:pPr>
      <w:r>
        <w:t>2.1 系统组件/FLP-DOC-SECTION-3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组件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安装位置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说明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Web 前端 / 反向代理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Web 或边缘节点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提供浏览器访问、静态资源、反向代理规则和入口路由。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应用节点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提供 接口（API）、命令处理、校验、业务编排和集成调用。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数据库 / 事件存储（umadb）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umadb 数据库节点或托管数据库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统一使用 umadb 存储事件、业务状态、配置数据和 读模型（Read Model） 查询数据。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对象/文件存储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存储服务或挂载卷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存储上传文件、临时暂存文件和生成制品。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中间件 / 调度 / 消息通道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中间件节点或托管服务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支撑异步任务、定时任务、重试和集成通道。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运行时代理（Runtime Agent）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运行时节点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连接运行节点与平台，报告运行状态或执行结果。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外部系统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外部网络或托管服务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安装验证前必须确认可访问的外部依赖。</w:t>
            </w:r>
          </w:p>
        </w:tc>
      </w:tr>
    </w:tbl>
    <w:p/>
    <w:p>
      <w:pPr>
        <w:pStyle w:val="Heading5"/>
      </w:pPr>
      <w:r>
        <w:t>2.2 部署拓扑/FLP-DOC-SECTION-4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332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ol-topology-50437587819342915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32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TSong" w:hAnsi="STSong" w:eastAsia="STSong" w:cs="STSong"/>
          <w:sz w:val="21"/>
        </w:rPr>
        <w:t>图：联邦学习子系统部署拓扑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来源节点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目标节点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连接关系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用户浏览器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Web 前端 / 反向代理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网络调用或数据交互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Web 前端 / 反向代理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网络调用或数据交互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数据库 / 事件存储（umadb）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网络调用或数据交互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对象/文件存储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网络调用或数据交互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中间件 / 调度 / 消息通道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网络调用或数据交互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运行时代理（Runtime Agent）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网络调用或数据交互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外部系统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网络调用或数据交互</w:t>
            </w:r>
          </w:p>
        </w:tc>
      </w:tr>
    </w:tbl>
    <w:p/>
    <w:p>
      <w:pPr>
        <w:pStyle w:val="Heading5"/>
      </w:pPr>
      <w:r>
        <w:t>2.3 组件依赖/FLP-DOC-SECTION-5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来源组件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目标组件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关系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Web 前端 / 反向代理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转发 接口（API） 流量和认证/会话请求。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数据库 / 事件存储（umadb）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写入事件存储，并读写持久化业务数据和查询数据。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对象/文件存储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读写上传文件或生成制品。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中间件 / 调度 / 消息通道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发布任务、消费消息并执行定时工作。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运行时代理（Runtime Agent）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运行时代理（Runtime Agent） 主动发起控制面或状态上报通信。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Secure 聚合提供程序（Aggregation Provider）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训练轮次（Training Round） -&gt; 安全聚合服务（Secure Aggregation Service）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Participant Round 运行时（Runtime）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训练轮次（Training Round） -&gt; 运行时代理（Runtime Agent）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Aggregation Node 运行时（Runtime）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训练轮次（Training Round） -&gt; 聚合运行时（Aggregation Runtime）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Round 运行时（Runtime） Engine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轮次执行（Round Execution） -&gt; 运行时（Runtime） Engine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Round 运行时（Runtime） Engine Observation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轮次执行（Round Execution） -&gt; 运行时（Runtime） Engine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Retried Round 运行时（Runtime） Engine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轮次执行（Round Execution） -&gt; 运行时（Runtime） Engine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Retried Round 运行时（Runtime） Engine Observation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轮次执行（Round Execution） -&gt; 运行时（Runtime） Engine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运行时（Runtime） 失败（Failure） Retried Round 运行时（Runtime） Engine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轮次执行（Round Execution） -&gt; 运行时（Runtime） Engine</w:t>
            </w:r>
          </w:p>
        </w:tc>
      </w:tr>
    </w:tbl>
    <w:p/>
    <w:p>
      <w:pPr>
        <w:pStyle w:val="Heading4"/>
      </w:pPr>
      <w:r>
        <w:t>三、环境要求/FLP-DOC-SECTION-6</w:t>
      </w:r>
    </w:p>
    <w:p>
      <w:pPr>
        <w:pStyle w:val="Heading5"/>
      </w:pPr>
      <w:r>
        <w:t>3.1 硬件要求/FLP-DOC-SECTION-7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资源</w:t>
            </w:r>
          </w:p>
        </w:tc>
        <w:tc>
          <w:tcPr>
            <w:tcW w:type="dxa" w:w="2266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最低要求</w:t>
            </w:r>
          </w:p>
        </w:tc>
        <w:tc>
          <w:tcPr>
            <w:tcW w:type="dxa" w:w="2266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测试环境推荐</w:t>
            </w:r>
          </w:p>
        </w:tc>
        <w:tc>
          <w:tcPr>
            <w:tcW w:type="dxa" w:w="2266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生产环境推荐</w:t>
            </w:r>
          </w:p>
        </w:tc>
      </w:tr>
      <w:tr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CPU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4 Core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4-8 Core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8 Core+</w:t>
            </w:r>
          </w:p>
        </w:tc>
      </w:tr>
      <w:tr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RAM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8 GB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16 GB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32 GB+</w:t>
            </w:r>
          </w:p>
        </w:tc>
      </w:tr>
      <w:tr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Disk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50 GB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100 GB SSD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200 GB SSD+</w:t>
            </w:r>
          </w:p>
        </w:tc>
      </w:tr>
      <w:tr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架构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x86_64 / ARM64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x86_64 / ARM64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x86_64 / ARM64</w:t>
            </w:r>
          </w:p>
        </w:tc>
      </w:tr>
      <w:tr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操作系统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Linux，发行版和版本以交付包要求为准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Linux，发行版和版本以交付包要求为准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Linux，发行版和版本以交付包要求为准</w:t>
            </w:r>
          </w:p>
        </w:tc>
      </w:tr>
    </w:tbl>
    <w:p/>
    <w:p>
      <w:pPr>
        <w:pStyle w:val="Heading5"/>
      </w:pPr>
      <w:r>
        <w:t>3.2 软件依赖/FLP-DOC-SECTION-8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软件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支持版本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说明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Container 运行时（Runtime）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Docker 27+ / Podman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使用交付安装包要求的容器运行时。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Database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PostgreSQL 16 or compatible managed database (umadb)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确认数据库是随包部署还是外置托管。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JDK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21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后端为 JVM 包时需要。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Node.js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22+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Node 安装工具或前端构建任务需要。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Browser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Latest Chrome / Edge / Firefox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管理员和用户访问控制台需要。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NTP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已启用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分布式部署、审计和令牌校验需要。</w:t>
            </w:r>
          </w:p>
        </w:tc>
      </w:tr>
    </w:tbl>
    <w:p/>
    <w:p>
      <w:pPr>
        <w:pStyle w:val="Heading4"/>
      </w:pPr>
      <w:r>
        <w:t>四、网络与端口/FLP-DOC-SECTION-9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7"/>
              </w:rPr>
              <w:t>来源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7"/>
              </w:rPr>
              <w:t>目标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7"/>
              </w:rPr>
              <w:t>端口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7"/>
              </w:rPr>
              <w:t>协议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7"/>
              </w:rPr>
              <w:t>用途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用户 / 管理员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Web 前端 / 反向代理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443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HTTPS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Web 访问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管理员工作站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服务器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22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SSH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运维和安装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Web 前端 / 反向代理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后端 接口（API） 服务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8080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HTTP/HTTPS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接口（API） 转发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后端 接口（API） 服务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数据库 / 事件存储（umadb）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5432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TCP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umadb 数据库与事件存储访问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后端 接口（API） 服务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对象/文件存储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9000 / 443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S3/HTTPS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文件/对象存储访问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后端 接口（API） 服务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中间件 / 调度 / 消息通道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待补充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TCP/HTTP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任务、消息、调度和重试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运行时代理（Runtime Agent）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后端 接口（API） 服务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443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HTTPS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运行时控制与状态上报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后端 接口（API） 服务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Secure 聚合提供程序（Aggregation Provider）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待补充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HTTPS/TCP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执行连通性、认证和契约检查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后端 接口（API） 服务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Participant Round 运行时（Runtime）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待补充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HTTPS/TCP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执行连通性、认证和契约检查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后端 接口（API） 服务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Aggregation Node 运行时（Runtime）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待补充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HTTPS/TCP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执行连通性、认证和契约检查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后端 接口（API） 服务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Round 运行时（Runtime） Engine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待补充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HTTPS/TCP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执行连通性、认证和契约检查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后端 接口（API） 服务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Round 运行时（Runtime） Engine Observation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待补充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HTTPS/TCP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执行连通性、认证和契约检查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后端 接口（API） 服务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Retried Round 运行时（Runtime） Engine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待补充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HTTPS/TCP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执行连通性、认证和契约检查</w:t>
            </w:r>
          </w:p>
        </w:tc>
      </w:tr>
    </w:tbl>
    <w:p/>
    <w:p>
      <w:pPr>
        <w:pStyle w:val="ListBullet"/>
      </w:pPr>
      <w:r>
        <w:rPr>
          <w:rFonts w:ascii="STSong" w:hAnsi="STSong" w:eastAsia="STSong" w:cs="STSong"/>
          <w:sz w:val="21"/>
        </w:rPr>
        <w:t>对外开放 Web 入口前，确认 DNS 名称和 TLS 证书。</w:t>
      </w:r>
    </w:p>
    <w:p>
      <w:pPr>
        <w:pStyle w:val="ListBullet"/>
      </w:pPr>
      <w:r>
        <w:rPr>
          <w:rFonts w:ascii="STSong" w:hAnsi="STSong" w:eastAsia="STSong" w:cs="STSong"/>
          <w:sz w:val="21"/>
        </w:rPr>
        <w:t>确认是否需要公网出站、HTTP 代理或私有镜像仓库访问。</w:t>
      </w:r>
    </w:p>
    <w:p>
      <w:pPr>
        <w:pStyle w:val="ListBullet"/>
      </w:pPr>
      <w:r>
        <w:rPr>
          <w:rFonts w:ascii="STSong" w:hAnsi="STSong" w:eastAsia="STSong" w:cs="STSong"/>
          <w:sz w:val="21"/>
        </w:rPr>
        <w:t>按连接方向确认防火墙规则，尤其是 运行时代理（Runtime Agent） 的主动连接方向。</w:t>
      </w:r>
    </w:p>
    <w:p>
      <w:pPr>
        <w:pStyle w:val="ListBullet"/>
      </w:pPr>
      <w:r>
        <w:rPr>
          <w:rFonts w:ascii="STSong" w:hAnsi="STSong" w:eastAsia="STSong" w:cs="STSong"/>
          <w:sz w:val="21"/>
        </w:rPr>
        <w:t>所有节点启用 NTP/时间同步。</w:t>
      </w:r>
    </w:p>
    <w:p>
      <w:pPr>
        <w:pStyle w:val="Heading4"/>
      </w:pPr>
      <w:r>
        <w:t>五、安装前准备/FLP-DOC-SECTION-10</w:t>
      </w:r>
    </w:p>
    <w:p>
      <w:pPr>
        <w:pStyle w:val="Heading5"/>
      </w:pPr>
      <w:r>
        <w:t>5.1 安装介质确认/FLP-DOC-SECTION-11</w:t>
      </w:r>
    </w:p>
    <w:p>
      <w:r>
        <w:rPr>
          <w:rFonts w:ascii="STSong" w:hAnsi="STSong" w:eastAsia="STSong" w:cs="STSong"/>
          <w:sz w:val="21"/>
        </w:rPr>
        <w:t>安装前确认交付包、镜像标签、配置模板、脚本、许可证文件和 SHA256 校验值。</w:t>
      </w:r>
    </w:p>
    <w:p>
      <w:pPr>
        <w:ind w:left="283"/>
      </w:pPr>
      <w:r>
        <w:rPr>
          <w:rFonts w:ascii="Courier New" w:hAnsi="Courier New"/>
          <w:sz w:val="16"/>
        </w:rPr>
        <w:t>federation-learning-platform-V0.1.0/</w:t>
        <w:br/>
        <w:t>|-- docker-compose.yml</w:t>
        <w:br/>
        <w:t>|-- .env.example</w:t>
        <w:br/>
        <w:t>|-- config/</w:t>
        <w:br/>
        <w:t>|-- scripts/</w:t>
        <w:br/>
        <w:t>|   |-- install.sh</w:t>
        <w:br/>
        <w:t>|   |-- start.sh</w:t>
        <w:br/>
        <w:t>|   |-- stop.sh</w:t>
        <w:br/>
        <w:t>|   |-- backup.sh</w:t>
        <w:br/>
        <w:t>|   `-- migrate.sh</w:t>
        <w:br/>
        <w:t>|-- images/</w:t>
        <w:br/>
        <w:t>|-- LICENSE</w:t>
        <w:br/>
        <w:t>`-- README.md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介质</w:t>
            </w:r>
          </w:p>
        </w:tc>
        <w:tc>
          <w:tcPr>
            <w:tcW w:type="dxa" w:w="2266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版本</w:t>
            </w:r>
          </w:p>
        </w:tc>
        <w:tc>
          <w:tcPr>
            <w:tcW w:type="dxa" w:w="2266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校验值</w:t>
            </w:r>
          </w:p>
        </w:tc>
        <w:tc>
          <w:tcPr>
            <w:tcW w:type="dxa" w:w="2266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说明</w:t>
            </w:r>
          </w:p>
        </w:tc>
      </w:tr>
      <w:tr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federation-learning-platform-backend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V0.1.0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SHA256:&lt;...&gt;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后端服务安装包或容器镜像。</w:t>
            </w:r>
          </w:p>
        </w:tc>
      </w:tr>
      <w:tr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federation-learning-platform-web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V0.1.0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SHA256:&lt;...&gt;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Web 前端安装包或容器镜像。</w:t>
            </w:r>
          </w:p>
        </w:tc>
      </w:tr>
      <w:tr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federation-learning-platform-runtime-agent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V0.1.0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SHA256:&lt;...&gt;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运行时代理（Runtime Agent） 安装包或容器镜像。</w:t>
            </w:r>
          </w:p>
        </w:tc>
      </w:tr>
      <w:tr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docker-compose.yml / k8s manifests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V0.1.0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SHA256:&lt;...&gt;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Docker Compose 或 Kubernetes 部署描述文件。</w:t>
            </w:r>
          </w:p>
        </w:tc>
      </w:tr>
      <w:tr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.env.example / config/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V0.1.0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SHA256:&lt;...&gt;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启动前需要复制并填写的配置模板。</w:t>
            </w:r>
          </w:p>
        </w:tc>
      </w:tr>
      <w:tr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scripts/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V0.1.0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SHA256:&lt;...&gt;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安装、启停、备份、迁移和诊断脚本。</w:t>
            </w:r>
          </w:p>
        </w:tc>
      </w:tr>
      <w:tr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LICENSE / license.key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V0.1.0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SHA256:&lt;...&gt;</w:t>
            </w:r>
          </w:p>
        </w:tc>
        <w:tc>
          <w:tcPr>
            <w:tcW w:type="dxa" w:w="2266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已安装产品使用的许可证或授权文件。</w:t>
            </w:r>
          </w:p>
        </w:tc>
      </w:tr>
    </w:tbl>
    <w:p/>
    <w:p>
      <w:pPr>
        <w:pStyle w:val="Heading5"/>
      </w:pPr>
      <w:r>
        <w:t>5.2 准备项检查/FLP-DOC-SECTION-12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准备项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命令 / 操作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期望结果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操作系统就绪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`uname -a` / `hostnamectl`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主机名、OS 版本、架构和内核已确认。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时间同步就绪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`timedatectl status`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NTP 已启用，系统时间已同步。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容器运行时就绪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`docker --version` / `docker compose version`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Docker/Podman 和 compose 插件返回受支持版本。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安装目录就绪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`mkdir -p /opt/&lt;product&gt; /var/log/&lt;product&gt;`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安装、配置、日志、数据和备份目录存在且权限正确。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安装用户就绪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`标识（id） &lt;install_user&gt;`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安装用户存在，并具备必要 sudo 或服务操作权限。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数据库就绪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`psql -h &lt;db_host&gt; -U &lt;user&gt; -d umadb`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迁移账号或应用账号可成功连接 umadb。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网络就绪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`nc -vz &lt;host&gt; &lt;port&gt;`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可从正确来源节点访问必要端口。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存储就绪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`aws s3 ls s3://&lt;bucket&gt;`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应用凭据可列出或写入存储桶/目录。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证书就绪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`openssl x509 -in &lt;cert.pem&gt; -noout -dates`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证书存在、未过期，并与目标域名匹配。</w:t>
            </w:r>
          </w:p>
        </w:tc>
      </w:tr>
    </w:tbl>
    <w:p/>
    <w:p>
      <w:pPr>
        <w:pStyle w:val="Heading4"/>
      </w:pPr>
      <w:r>
        <w:t>六、安装步骤/FLP-DOC-SECTION-13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7"/>
              </w:rPr>
              <w:t>步骤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7"/>
              </w:rPr>
              <w:t>操作目的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7"/>
              </w:rPr>
              <w:t>命令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7"/>
              </w:rPr>
              <w:t>预期输出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7"/>
              </w:rPr>
              <w:t>异常处理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安装基础环境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验证 OS、目录、用户、运行时和安装包完整性。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`./scripts/check-env.sh`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环境检查通过，无阻断错误。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先修复运行时、权限、目录或校验值问题，再继续安装。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初始化 umadb 与事件存储结构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创建或迁移应用表、事件存储表和读侧 schema。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`./scripts/migrate.sh`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迁移完成，并记录当前 schema 与事件存储版本。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检查数据库连通性、权限、迁移日志和回滚计划。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部署中间件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启动消息、缓存、调度或集成运行时服务。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`docker compose up -d redis mq`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中间件容器或服务运行并可访问。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检查中间件日志、端口、凭据和卷权限。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部署后端 接口（API）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启动 接口（API） 服务，并连接数据库、存储和依赖项。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`docker compose up -d backend`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后端服务运行，健康检查可访问。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检查应用日志、配置值、数据库连接和依赖可达性。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部署前端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启动 Web 前端或反向代理入口。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`docker compose up -d web`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Web 入口可通过配置的 HTTP/HTTPS 地址访问。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检查反向代理配置、TLS 证书、静态资源和 接口（API） 上游。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部署 运行时代理（Runtime Agent）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启动运行侧 代理（Agent） 并连接平台。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`docker compose up -d runtime-agent`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代理（Agent） 上报已启动或已连接状态。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检查 代理（Agent） Token、平台地址、DNS、防火墙和运行日志。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启动全部服务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按依赖顺序启动完整系统。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`docker compose up -d`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所有必要容器或服务处于运行状态。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执行状态和日志命令定位失败组件。</w:t>
            </w:r>
          </w:p>
        </w:tc>
      </w:tr>
    </w:tbl>
    <w:p/>
    <w:p>
      <w:pPr>
        <w:pStyle w:val="Heading4"/>
      </w:pPr>
      <w:r>
        <w:t>七、配置说明/FLP-DOC-SECTION-14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7"/>
              </w:rPr>
              <w:t>参数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7"/>
              </w:rPr>
              <w:t>必填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7"/>
              </w:rPr>
              <w:t>默认值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7"/>
              </w:rPr>
              <w:t>示例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7"/>
              </w:rPr>
              <w:t>说明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DB_HOST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是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-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10.0.0.20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数据库主机或服务名。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DB_PORT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否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5432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5432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数据库监听端口。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DB_NAME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是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umadb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umadb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统一应用数据库名称，当前固定为 umadb。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DB_USER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是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-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&lt;db_user&gt;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应用数据库用户。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DB_PASSWORD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是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-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&lt;database_password&gt;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密钥值；存入密钥管理工具，不得提交真实值。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SERVER_PORT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否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8080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8080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后端 接口（API） 监听端口。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PUBLIC_BASE_URL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是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-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https://example.com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对外 Web 入口 URL。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JWT_SECRET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是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-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&lt;random_secret&gt;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密钥值；存入密钥管理工具，不得提交真实值。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LOG_LEVEL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否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INFO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INFO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应用日志级别。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STORAGE_ENDPOINT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是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-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https://s3.example.com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对象/文件存储端点。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STORAGE_BUCKET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是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-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federation-learning-platform-files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对象/文件存储桶或命名空间。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PLATFORM_API_URL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是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-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https://platform.example.com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运行时代理（Runtime Agent） 使用的平台 接口（API） 地址。</w:t>
            </w:r>
          </w:p>
        </w:tc>
      </w:tr>
      <w:tr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RUNTIME_AGENT_TOKEN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是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-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&lt;agent_token&gt;</w:t>
            </w:r>
          </w:p>
        </w:tc>
        <w:tc>
          <w:tcPr>
            <w:tcW w:type="dxa" w:w="1813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7"/>
              </w:rPr>
              <w:t>密钥值；存入密钥管理工具，不得提交真实值。</w:t>
            </w:r>
          </w:p>
        </w:tc>
      </w:tr>
    </w:tbl>
    <w:p/>
    <w:p>
      <w:pPr>
        <w:pStyle w:val="Heading4"/>
      </w:pPr>
      <w:r>
        <w:t>八、初始化/FLP-DOC-SECTION-15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初始化项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操作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期望结果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umadb 初始化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`./scripts/init-db.sh`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schema、事件存储表和迁移元数据已初始化。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管理员初始化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`./scripts/create-admin.sh --user &lt;admin&gt;`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初始管理员账号创建完成，并应用密码策略。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基础参数初始化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`./scripts/init-config.sh`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默认系统参数已写入并可查询。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基础/参考数据初始化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Import 字典维护（Dictionary Maintenance）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必要字典、参考数据或租户初始化值已导入。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许可证初始化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Copy license file or configure license key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许可证被接受，产品授权有效。</w:t>
            </w:r>
          </w:p>
        </w:tc>
      </w:tr>
    </w:tbl>
    <w:p/>
    <w:p>
      <w:pPr>
        <w:pStyle w:val="Heading4"/>
      </w:pPr>
      <w:r>
        <w:t>九、启动与停止/FLP-DOC-SECTION-16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操作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命令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说明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启动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`docker compose up -d` / `systemctl start &lt;service&gt;`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按依赖顺序启动服务。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停止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`docker compose down` / `systemctl stop &lt;service&gt;`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除特殊要求外，先停止应用服务，再停止数据服务。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重启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`docker compose restart` / `systemctl restart &lt;service&gt;`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配置或版本变更后重启服务。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状态检查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`docker compose ps` / `systemctl status &lt;service&gt;`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检查进程/容器状态和健康状态。</w:t>
            </w:r>
          </w:p>
        </w:tc>
      </w:tr>
    </w:tbl>
    <w:p/>
    <w:p>
      <w:pPr>
        <w:pStyle w:val="ListBullet"/>
      </w:pPr>
      <w:r>
        <w:rPr>
          <w:rFonts w:ascii="STSong" w:hAnsi="STSong" w:eastAsia="STSong" w:cs="STSong"/>
          <w:sz w:val="21"/>
        </w:rPr>
        <w:t>推荐启动顺序：umadb 数据库 / 事件存储 -&gt; 中间件 -&gt; 后端 接口（API） -&gt; Web 前端 -&gt; 运行时代理（Runtime Agent）。</w:t>
      </w:r>
    </w:p>
    <w:p>
      <w:pPr>
        <w:pStyle w:val="ListBullet"/>
      </w:pPr>
      <w:r>
        <w:rPr>
          <w:rFonts w:ascii="STSong" w:hAnsi="STSong" w:eastAsia="STSong" w:cs="STSong"/>
          <w:sz w:val="21"/>
        </w:rPr>
        <w:t>推荐停止顺序：运行时代理（Runtime Agent） -&gt; Web 前端 -&gt; 后端 接口（API） -&gt; 中间件 -&gt; umadb 数据库 / 事件存储。</w:t>
      </w:r>
    </w:p>
    <w:p>
      <w:pPr>
        <w:pStyle w:val="Heading4"/>
      </w:pPr>
      <w:r>
        <w:t>十、安装验证/FLP-DOC-SECTION-17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验证层级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验证方式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通过标准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基础设施验证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`docker compose ps` / service status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所有必要服务处于运行或 healthy 状态。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应用健康检查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`curl -fsS &lt;base_url&gt;/health`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健康检查接口返回 UP/healthy 状态。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事件存储验证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`psql -h &lt;db_host&gt; -U &lt;user&gt; -d umadb -c "select 1"`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umadb 可连接，并可作为应用事件存储使用。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页面访问验证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Open `&lt;PUBLIC_BASE_URL&gt;` in browser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浏览器可通过配置 URL 打开登录页或控制台。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管理员登录验证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使用初始化管理员账号登录。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登录成功，并可访问管理员控制台。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业务冒烟验证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执行代表性冒烟能力: 注册组织（Register Organization）, Expire 暂存文件（Staged File）, 组织目录（Organization Directory）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选定操作成功，且可检查相关查询或状态视图。</w:t>
            </w:r>
          </w:p>
        </w:tc>
      </w:tr>
    </w:tbl>
    <w:p/>
    <w:p>
      <w:pPr>
        <w:pStyle w:val="Heading4"/>
      </w:pPr>
      <w:r>
        <w:t>十一、升级与回滚/FLP-DOC-SECTION-18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阶段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操作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说明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备份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备份 umadb、上传文件、配置和当前版本包。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未验证备份前不得开始升级。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停止服务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按文档顺序停止前端、后端、Worker 和 代理（Agent）。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避免消费者处理半成品部署。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升级程序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将程序包、镜像或部署描述文件替换为目标版本。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确认版本兼容性和发行说明。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迁移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执行 umadb 数据库和事件存储迁移或兼容性脚本。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确认迁移是自动执行还是手工执行。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验证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启动服务并执行安装验证。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冒烟检查通过前不得交付。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回滚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必要时恢复上一版本程序包、配置快照和 umadb 备份。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回滚前记录数据丢失风险和恢复点。</w:t>
            </w:r>
          </w:p>
        </w:tc>
      </w:tr>
    </w:tbl>
    <w:p/>
    <w:p>
      <w:pPr>
        <w:pStyle w:val="Heading4"/>
      </w:pPr>
      <w:r>
        <w:t>十二、故障排查/FLP-DOC-SECTION-19</w:t>
      </w:r>
    </w:p>
    <w:p>
      <w:pPr>
        <w:pStyle w:val="Heading5"/>
      </w:pPr>
      <w:r>
        <w:t>12.1 日志位置/FLP-DOC-SECTION-20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组件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日志位置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检查命令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Web 前端 / 反向代理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/var/log/nginx/ or container logs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`docker compose logs -f web`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 接口（API） 服务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/opt/&lt;product&gt;/logs/application.log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`docker compose logs -f backend`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数据库 / 事件存储（umadb）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umadb 数据库服务日志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`docker compose logs -f db`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运行时代理（Runtime Agent）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/opt/&lt;product-agent&gt;/logs/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`docker compose logs -f runtime-agent`</w:t>
            </w:r>
          </w:p>
        </w:tc>
      </w:tr>
    </w:tbl>
    <w:p/>
    <w:p>
      <w:pPr>
        <w:pStyle w:val="Heading5"/>
      </w:pPr>
      <w:r>
        <w:t>12.2 常见问题/FLP-DOC-SECTION-21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问题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可能原因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STSong" w:hAnsi="STSong" w:eastAsia="STSong" w:cs="STSong"/>
                <w:b/>
                <w:sz w:val="18"/>
              </w:rPr>
              <w:t>检查方法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页面打不开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Web 前端、反向代理、DNS、TLS 或防火墙问题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`docker compose ps web` / `systemctl status nginx`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后端启动失败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umadb 数据库或事件存储连接/配置失败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检查 DB_HOST、DB_PORT、DB_NAME=umadb、DB_USER、DB_PASSWORD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登录失败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管理员或认证初始化未完成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Check administrator initialization and authentication config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外部依赖不可用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网络、DNS、凭据或白名单问题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`nc -vz &lt;host&gt; &lt;port&gt;` and dependency logs</w:t>
            </w:r>
          </w:p>
        </w:tc>
      </w:tr>
      <w:tr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文件上传失败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存储端点、桶、凭据、大小限制或清理策略问题</w:t>
            </w:r>
          </w:p>
        </w:tc>
        <w:tc>
          <w:tcPr>
            <w:tcW w:type="dxa" w:w="3022"/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STSong" w:hAnsi="STSong" w:eastAsia="STSong" w:cs="STSong"/>
                <w:b w:val="0"/>
                <w:sz w:val="18"/>
              </w:rPr>
              <w:t>Check storage endpoint, bucket, credential, and size limit</w:t>
            </w:r>
          </w:p>
        </w:tc>
      </w:tr>
    </w:tbl>
    <w:p/>
    <w:sectPr w:rsidR="00FC693F" w:rsidRPr="0006063C" w:rsidSect="00034616">
      <w:pgSz w:w="12240" w:h="15840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STSong" w:hAnsi="STSong" w:eastAsia="STSong" w:cs="STSong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jc w:val="center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00"/>
      <w:outlineLvl w:val="3"/>
    </w:pPr>
    <w:rPr>
      <w:rFonts w:asciiTheme="majorHAnsi" w:eastAsiaTheme="majorEastAsia" w:hAnsiTheme="majorHAnsi" w:cstheme="majorBidi" w:ascii="Hiragino Sans GB" w:hAnsi="Hiragino Sans GB" w:eastAsia="Hiragino Sans GB" w:cs="Hiragino Sans GB"/>
      <w:b w:val="0"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100"/>
      <w:outlineLvl w:val="4"/>
    </w:pPr>
    <w:rPr>
      <w:rFonts w:asciiTheme="majorHAnsi" w:eastAsiaTheme="majorEastAsia" w:hAnsiTheme="majorHAnsi" w:cstheme="majorBidi" w:ascii="Hiragino Sans GB" w:hAnsi="Hiragino Sans GB" w:eastAsia="Hiragino Sans GB" w:cs="Hiragino Sans GB"/>
      <w:b w:val="0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100"/>
      <w:outlineLvl w:val="5"/>
    </w:pPr>
    <w:rPr>
      <w:rFonts w:asciiTheme="majorHAnsi" w:eastAsiaTheme="majorEastAsia" w:hAnsiTheme="majorHAnsi" w:cstheme="majorBidi" w:ascii="Hiragino Sans GB" w:hAnsi="Hiragino Sans GB" w:eastAsia="Hiragino Sans GB" w:cs="Hiragino Sans GB"/>
      <w:b w:val="0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