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7"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Cs/>
          <w:i/>
        </w:rPr>
        <w:t xml:space="preserve">Companion to the</w:t>
      </w:r>
      <w:r>
        <w:rPr>
          <w:iCs/>
          <w:i/>
        </w:rPr>
        <w:t xml:space="preserve"> </w:t>
      </w:r>
      <w:hyperlink r:id="rId23">
        <w:r>
          <w:rPr>
            <w:rStyle w:val="Hyperlink"/>
            <w:iCs/>
            <w:i/>
          </w:rPr>
          <w:t xml:space="preserve">Authentication</w:t>
        </w:r>
      </w:hyperlink>
      <w:r>
        <w:rPr>
          <w:iCs/>
          <w:i/>
        </w:rPr>
        <w:t xml:space="preserve"> </w:t>
      </w:r>
      <w:r>
        <w:rPr>
          <w:iCs/>
          <w:i/>
        </w:rPr>
        <w:t xml:space="preserve">and</w:t>
      </w:r>
      <w:r>
        <w:rPr>
          <w:iCs/>
          <w:i/>
        </w:rPr>
        <w:t xml:space="preserve"> </w:t>
      </w:r>
      <w:hyperlink r:id="rId24">
        <w:r>
          <w:rPr>
            <w:rStyle w:val="Hyperlink"/>
            <w:iCs/>
            <w:i/>
          </w:rPr>
          <w:t xml:space="preserve">User Management</w:t>
        </w:r>
      </w:hyperlink>
      <w:r>
        <w:rPr>
          <w:iCs/>
          <w:i/>
        </w:rPr>
        <w:t xml:space="preserve"> </w:t>
      </w:r>
      <w:r>
        <w:rPr>
          <w:iCs/>
          <w:i/>
        </w:rPr>
        <w:t xml:space="preserve">docs. Builds on</w:t>
      </w:r>
      <w:r>
        <w:rPr>
          <w:iCs/>
          <w:i/>
        </w:rPr>
        <w:t xml:space="preserve"> </w:t>
      </w:r>
      <w:hyperlink r:id="rId25">
        <w:r>
          <w:rPr>
            <w:rStyle w:val="Hyperlink"/>
            <w:iCs/>
            <w:i/>
          </w:rPr>
          <w:t xml:space="preserve">Identity Management: A Practical Guide</w:t>
        </w:r>
      </w:hyperlink>
      <w:r>
        <w:rPr>
          <w:iCs/>
          <w:i/>
        </w:rPr>
        <w:t xml:space="preserve">.</w:t>
      </w:r>
    </w:p>
    <w:p>
      <w:pPr>
        <w:pStyle w:val="BodyText"/>
      </w:pPr>
      <w:r>
        <w:t xml:space="preserve">Authentication establishes</w:t>
      </w:r>
      <w:r>
        <w:t xml:space="preserve"> </w:t>
      </w:r>
      <w:r>
        <w:rPr>
          <w:bCs/>
          <w:b/>
        </w:rPr>
        <w:t xml:space="preserve">who a user is</w:t>
      </w:r>
      <w:r>
        <w:t xml:space="preserve">. Authorization determines</w:t>
      </w:r>
      <w:r>
        <w:t xml:space="preserve"> </w:t>
      </w:r>
      <w:r>
        <w:rPr>
          <w:bCs/>
          <w:b/>
        </w:rPr>
        <w:t xml:space="preserve">what that user can access</w:t>
      </w:r>
      <w:r>
        <w:t xml:space="preserve">. This guide focuses on authentication; use the</w:t>
      </w:r>
      <w:r>
        <w:t xml:space="preserve"> </w:t>
      </w:r>
      <w:hyperlink r:id="rId26">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numPr>
          <w:ilvl w:val="0"/>
          <w:numId w:val="1001"/>
        </w:numPr>
        <w:pStyle w:val="Compact"/>
      </w:pPr>
      <w:hyperlink w:anchor="Xa2fe6bcae4b21083a9372930aac9d896e240e22">
        <w:r>
          <w:rPr>
            <w:rStyle w:val="Hyperlink"/>
            <w:bCs/>
            <w:b/>
          </w:rPr>
          <w:t xml:space="preserve">User identification</w:t>
        </w:r>
      </w:hyperlink>
      <w:r>
        <w:rPr>
          <w:bCs/>
          <w:b/>
        </w:rPr>
        <w:t xml:space="preserve">:</w:t>
      </w:r>
      <w:r>
        <w:t xml:space="preserve"> </w:t>
      </w:r>
      <w:r>
        <w:t xml:space="preserve">What identifier connects the login to the correct Medplum account: email or an external ID?</w:t>
      </w:r>
    </w:p>
    <w:p>
      <w:pPr>
        <w:numPr>
          <w:ilvl w:val="0"/>
          <w:numId w:val="1001"/>
        </w:numPr>
        <w:pStyle w:val="Compact"/>
      </w:pPr>
      <w:hyperlink w:anchor="Xe73c9a75b182ec0997b5c83f0af59fcaf46a51e">
        <w:r>
          <w:rPr>
            <w:rStyle w:val="Hyperlink"/>
            <w:bCs/>
            <w:b/>
          </w:rPr>
          <w:t xml:space="preserve">Identity provider</w:t>
        </w:r>
      </w:hyperlink>
      <w:r>
        <w:rPr>
          <w:bCs/>
          <w:b/>
        </w:rPr>
        <w:t xml:space="preserve">:</w:t>
      </w:r>
      <w:r>
        <w:t xml:space="preserve"> </w:t>
      </w:r>
      <w:r>
        <w:t xml:space="preserve">Who manages credentials, and how do users reach the correct provider?</w:t>
      </w:r>
    </w:p>
    <w:p>
      <w:pPr>
        <w:numPr>
          <w:ilvl w:val="0"/>
          <w:numId w:val="1001"/>
        </w:numPr>
        <w:pStyle w:val="Compact"/>
      </w:pPr>
      <w:hyperlink w:anchor="Xe83cbdd7272abc64477498a6881e4d71cc6d800">
        <w:r>
          <w:rPr>
            <w:rStyle w:val="Hyperlink"/>
            <w:bCs/>
            <w:b/>
          </w:rPr>
          <w:t xml:space="preserve">Token flow</w:t>
        </w:r>
      </w:hyperlink>
      <w:r>
        <w:rPr>
          <w:bCs/>
          <w:b/>
        </w:rPr>
        <w:t xml:space="preserve">:</w:t>
      </w:r>
      <w:r>
        <w:t xml:space="preserve"> </w:t>
      </w:r>
      <w:r>
        <w:t xml:space="preserve">How does the application obtain Medplum credentials, and will it use them in the client or backend?</w:t>
      </w:r>
    </w:p>
    <w:p>
      <w:r>
        <w:pict>
          <v:rect style="width:0;height:1.5pt" o:hralign="center" o:hrstd="t" o:hr="t"/>
        </w:pict>
      </w:r>
    </w:p>
    <w:bookmarkStart w:id="32"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Cs/>
          <w:b/>
        </w:rPr>
        <w:t xml:space="preserve">Questions:</w:t>
      </w:r>
      <w:r>
        <w:t xml:space="preserve"> </w:t>
      </w:r>
      <w:r>
        <w:t xml:space="preserve">Is email unique for each user? How often does it change? Can different people share a contact email? Do you already have a stable identifier from an IDP?</w:t>
      </w:r>
    </w:p>
    <w:bookmarkStart w:id="27"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numPr>
          <w:ilvl w:val="0"/>
          <w:numId w:val="1002"/>
        </w:numPr>
        <w:pStyle w:val="Compact"/>
      </w:pPr>
      <w:r>
        <w:rPr>
          <w:bCs/>
          <w:b/>
        </w:rPr>
        <w:t xml:space="preserve">Advantages:</w:t>
      </w:r>
    </w:p>
    <w:p>
      <w:pPr>
        <w:numPr>
          <w:ilvl w:val="1"/>
          <w:numId w:val="1003"/>
        </w:numPr>
        <w:pStyle w:val="Compact"/>
      </w:pPr>
      <w:r>
        <w:t xml:space="preserve">Simple to configure when each person has a distinct email and changes are infrequent.</w:t>
      </w:r>
    </w:p>
    <w:p>
      <w:pPr>
        <w:numPr>
          <w:ilvl w:val="1"/>
          <w:numId w:val="1003"/>
        </w:numPr>
        <w:pStyle w:val="Compact"/>
      </w:pPr>
      <w:r>
        <w:t xml:space="preserve">Works with external IDPs as well as Medplum-managed authentication.</w:t>
      </w:r>
    </w:p>
    <w:p>
      <w:pPr>
        <w:numPr>
          <w:ilvl w:val="0"/>
          <w:numId w:val="1002"/>
        </w:numPr>
        <w:pStyle w:val="Compact"/>
      </w:pPr>
      <w:r>
        <w:rPr>
          <w:bCs/>
          <w:b/>
        </w:rPr>
        <w:t xml:space="preserve">Tradeoffs:</w:t>
      </w:r>
    </w:p>
    <w:p>
      <w:pPr>
        <w:numPr>
          <w:ilvl w:val="1"/>
          <w:numId w:val="1004"/>
        </w:numPr>
        <w:pStyle w:val="Compact"/>
      </w:pPr>
      <w:r>
        <w:t xml:space="preserve">Email changes must also be reflected in the Medplum login account. Updating only the Patient or Practitioner contact email is insufficient.</w:t>
      </w:r>
    </w:p>
    <w:p>
      <w:pPr>
        <w:numPr>
          <w:ilvl w:val="1"/>
          <w:numId w:val="1004"/>
        </w:numPr>
        <w:pStyle w:val="Compact"/>
      </w:pPr>
      <w:r>
        <w:t xml:space="preserve">Shared addresses cannot reliably distinguish separate people.</w:t>
      </w:r>
    </w:p>
    <w:p>
      <w:pPr>
        <w:numPr>
          <w:ilvl w:val="0"/>
          <w:numId w:val="1002"/>
        </w:numPr>
        <w:pStyle w:val="Compact"/>
      </w:pPr>
      <w:r>
        <w:rPr>
          <w:bCs/>
          <w:b/>
        </w:rPr>
        <w:t xml:space="preserve">Best fit:</w:t>
      </w:r>
      <w:r>
        <w:t xml:space="preserve"> </w:t>
      </w:r>
      <w:r>
        <w:t xml:space="preserve">Applications with straightforward identity requirements and an owner for occasional account updates.</w:t>
      </w:r>
    </w:p>
    <w:bookmarkEnd w:id="27"/>
    <w:bookmarkStart w:id="28"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numPr>
          <w:ilvl w:val="0"/>
          <w:numId w:val="1005"/>
        </w:numPr>
        <w:pStyle w:val="Compact"/>
      </w:pPr>
      <w:r>
        <w:rPr>
          <w:bCs/>
          <w:b/>
        </w:rPr>
        <w:t xml:space="preserve">Advantages:</w:t>
      </w:r>
    </w:p>
    <w:p>
      <w:pPr>
        <w:numPr>
          <w:ilvl w:val="1"/>
          <w:numId w:val="1006"/>
        </w:numPr>
        <w:pStyle w:val="Compact"/>
      </w:pPr>
      <w:r>
        <w:t xml:space="preserve">Identity can remain stable when a person’s email changes.</w:t>
      </w:r>
    </w:p>
    <w:p>
      <w:pPr>
        <w:numPr>
          <w:ilvl w:val="1"/>
          <w:numId w:val="1006"/>
        </w:numPr>
        <w:pStyle w:val="Compact"/>
      </w:pPr>
      <w:r>
        <w:t xml:space="preserve">Supports distinct identities independently of contact email.</w:t>
      </w:r>
    </w:p>
    <w:p>
      <w:pPr>
        <w:numPr>
          <w:ilvl w:val="0"/>
          <w:numId w:val="1005"/>
        </w:numPr>
        <w:pStyle w:val="Compact"/>
      </w:pPr>
      <w:r>
        <w:rPr>
          <w:bCs/>
          <w:b/>
        </w:rPr>
        <w:t xml:space="preserve">Tradeoffs:</w:t>
      </w:r>
    </w:p>
    <w:p>
      <w:pPr>
        <w:numPr>
          <w:ilvl w:val="1"/>
          <w:numId w:val="1007"/>
        </w:numPr>
        <w:pStyle w:val="Compact"/>
      </w:pPr>
      <w:r>
        <w:t xml:space="preserve">Provisioning and login must use the same mapping; changing IDPs requires a migration plan.</w:t>
      </w:r>
    </w:p>
    <w:p>
      <w:pPr>
        <w:numPr>
          <w:ilvl w:val="1"/>
          <w:numId w:val="1007"/>
        </w:numPr>
        <w:pStyle w:val="Compact"/>
      </w:pPr>
      <w:r>
        <w:t xml:space="preserve">Subject values belong to a provider context. Do not assume they are globally unique across unrelated IDPs.</w:t>
      </w:r>
    </w:p>
    <w:p>
      <w:pPr>
        <w:numPr>
          <w:ilvl w:val="0"/>
          <w:numId w:val="1005"/>
        </w:numPr>
        <w:pStyle w:val="Compact"/>
      </w:pPr>
      <w:r>
        <w:rPr>
          <w:bCs/>
          <w:b/>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28"/>
    <w:bookmarkStart w:id="31" w:name="recommended-approach"/>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Distinct emails and manageable account changes</w:t>
            </w:r>
          </w:p>
        </w:tc>
        <w:tc>
          <w:tcPr/>
          <w:p>
            <w:pPr>
              <w:pStyle w:val="Compact"/>
              <w:jc w:val="left"/>
            </w:pPr>
            <w:r>
              <w:t xml:space="preserve">Start with email matching. An external IDP alone is not a reason to change the matching key.</w:t>
            </w:r>
          </w:p>
        </w:tc>
      </w:tr>
      <w:tr>
        <w:trPr>
          <w:cantSplit/>
        </w:trPr>
        <w:tc>
          <w:tcPr/>
          <w:p>
            <w:pPr>
              <w:pStyle w:val="Compact"/>
              <w:jc w:val="left"/>
            </w:pPr>
            <w:r>
              <w:t xml:space="preserve">Established IDP identity that must survive email changes</w:t>
            </w:r>
          </w:p>
        </w:tc>
        <w:tc>
          <w:tcPr/>
          <w:p>
            <w:pPr>
              <w:pStyle w:val="Compact"/>
              <w:jc w:val="left"/>
            </w:pPr>
            <w:r>
              <w:t xml:space="preserve">Use external ID matching and define who maintains the mapping.</w:t>
            </w:r>
          </w:p>
        </w:tc>
      </w:tr>
      <w:tr>
        <w:trPr>
          <w:cantSplit/>
        </w:trPr>
        <w:tc>
          <w:tcPr/>
          <w:p>
            <w:pPr>
              <w:pStyle w:val="Compact"/>
              <w:jc w:val="left"/>
            </w:pPr>
            <w:r>
              <w:t xml:space="preserve">Staff and patients have different identity requirements</w:t>
            </w:r>
          </w:p>
        </w:tc>
        <w:tc>
          <w:tcPr/>
          <w:p>
            <w:pPr>
              <w:pStyle w:val="Compact"/>
              <w:jc w:val="left"/>
            </w:pPr>
            <w:r>
              <w:t xml:space="preserve">Choose separately for each population. For example, staff may use corporate subject IDs while patients use email matching.</w:t>
            </w:r>
          </w:p>
        </w:tc>
      </w:tr>
      <w:tr>
        <w:trPr>
          <w:cantSplit/>
        </w:trPr>
        <w:tc>
          <w:tcPr/>
          <w:p>
            <w:pPr>
              <w:pStyle w:val="Compact"/>
              <w:jc w:val="left"/>
            </w:pPr>
            <w:r>
              <w:t xml:space="preserve">Separate people share a contact email</w:t>
            </w:r>
          </w:p>
        </w:tc>
        <w:tc>
          <w:tcPr/>
          <w:p>
            <w:pPr>
              <w:pStyle w:val="Compact"/>
              <w:jc w:val="left"/>
            </w:pPr>
            <w:r>
              <w:t xml:space="preserve">Use distinct authenticated identities and evaluate external ID matching. Also design recovery and MFA so mailbox access does not allow recovery of both accounts.</w:t>
            </w:r>
          </w:p>
        </w:tc>
      </w:tr>
      <w:tr>
        <w:trPr>
          <w:cantSplit/>
        </w:trPr>
        <w:tc>
          <w:tcPr/>
          <w:p>
            <w:pPr>
              <w:pStyle w:val="Compact"/>
              <w:jc w:val="left"/>
            </w:pPr>
            <w:r>
              <w:t xml:space="preserve">Caregiver accesses another person’s records</w:t>
            </w:r>
          </w:p>
        </w:tc>
        <w:tc>
          <w:tcPr/>
          <w:p>
            <w:pPr>
              <w:pStyle w:val="Compact"/>
              <w:jc w:val="left"/>
            </w:pPr>
            <w:r>
              <w:t xml:space="preserve">Give the caregiver their own identity and explicit access. A shared email is not evidence of authorization.</w:t>
            </w:r>
          </w:p>
        </w:tc>
      </w:tr>
    </w:tbl>
    <w:p>
      <w:pPr>
        <w:pStyle w:val="BodyText"/>
      </w:pPr>
      <w:r>
        <w:rPr>
          <w:bCs/>
          <w:b/>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29">
        <w:r>
          <w:rPr>
            <w:rStyle w:val="Hyperlink"/>
          </w:rPr>
          <w:t xml:space="preserve">Using External IDs</w:t>
        </w:r>
      </w:hyperlink>
      <w:r>
        <w:t xml:space="preserve">,</w:t>
      </w:r>
      <w:r>
        <w:t xml:space="preserve"> </w:t>
      </w:r>
      <w:hyperlink r:id="rId30">
        <w:r>
          <w:rPr>
            <w:rStyle w:val="Hyperlink"/>
          </w:rPr>
          <w:t xml:space="preserve">Updating User Emails</w:t>
        </w:r>
      </w:hyperlink>
      <w:r>
        <w:t xml:space="preserve">.</w:t>
      </w:r>
    </w:p>
    <w:bookmarkEnd w:id="31"/>
    <w:bookmarkEnd w:id="32"/>
    <w:bookmarkStart w:id="41"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Cs/>
          <w:b/>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35"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numPr>
          <w:ilvl w:val="0"/>
          <w:numId w:val="1008"/>
        </w:numPr>
        <w:pStyle w:val="Compact"/>
      </w:pPr>
      <w:r>
        <w:rPr>
          <w:bCs/>
          <w:b/>
        </w:rPr>
        <w:t xml:space="preserve">Advantages:</w:t>
      </w:r>
    </w:p>
    <w:p>
      <w:pPr>
        <w:numPr>
          <w:ilvl w:val="1"/>
          <w:numId w:val="1009"/>
        </w:numPr>
        <w:pStyle w:val="Compact"/>
      </w:pPr>
      <w:r>
        <w:t xml:space="preserve">No separate IDP integration is needed.</w:t>
      </w:r>
    </w:p>
    <w:p>
      <w:pPr>
        <w:numPr>
          <w:ilvl w:val="1"/>
          <w:numId w:val="1009"/>
        </w:numPr>
        <w:pStyle w:val="Compact"/>
      </w:pPr>
      <w:r>
        <w:t xml:space="preserve">Medplum provides credential management and supported login components.</w:t>
      </w:r>
    </w:p>
    <w:p>
      <w:pPr>
        <w:numPr>
          <w:ilvl w:val="0"/>
          <w:numId w:val="1008"/>
        </w:numPr>
        <w:pStyle w:val="Compact"/>
      </w:pPr>
      <w:r>
        <w:rPr>
          <w:bCs/>
          <w:b/>
        </w:rPr>
        <w:t xml:space="preserve">Tradeoffs:</w:t>
      </w:r>
    </w:p>
    <w:p>
      <w:pPr>
        <w:numPr>
          <w:ilvl w:val="1"/>
          <w:numId w:val="1010"/>
        </w:numPr>
        <w:pStyle w:val="Compact"/>
      </w:pPr>
      <w:r>
        <w:t xml:space="preserve">Your product still needs decisions about registration, invitations, MFA, and recovery.</w:t>
      </w:r>
    </w:p>
    <w:p>
      <w:pPr>
        <w:numPr>
          <w:ilvl w:val="1"/>
          <w:numId w:val="1010"/>
        </w:numPr>
        <w:pStyle w:val="Compact"/>
      </w:pPr>
      <w:r>
        <w:t xml:space="preserve">This does not satisfy a requirement to use an existing corporate IDP by itself.</w:t>
      </w:r>
    </w:p>
    <w:p>
      <w:pPr>
        <w:numPr>
          <w:ilvl w:val="0"/>
          <w:numId w:val="1008"/>
        </w:numPr>
        <w:pStyle w:val="Compact"/>
      </w:pPr>
      <w:r>
        <w:rPr>
          <w:bCs/>
          <w:b/>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Choose the login presentation separately from who manages credentials.</w:t>
      </w:r>
    </w:p>
    <w:bookmarkEnd w:id="35"/>
    <w:bookmarkStart w:id="37"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numPr>
          <w:ilvl w:val="0"/>
          <w:numId w:val="1011"/>
        </w:numPr>
        <w:pStyle w:val="Compact"/>
      </w:pPr>
      <w:r>
        <w:rPr>
          <w:bCs/>
          <w:b/>
        </w:rPr>
        <w:t xml:space="preserve">Advantages:</w:t>
      </w:r>
    </w:p>
    <w:p>
      <w:pPr>
        <w:numPr>
          <w:ilvl w:val="1"/>
          <w:numId w:val="1012"/>
        </w:numPr>
        <w:pStyle w:val="Compact"/>
      </w:pPr>
      <w:r>
        <w:t xml:space="preserve">Reuses existing identity infrastructure.</w:t>
      </w:r>
    </w:p>
    <w:p>
      <w:pPr>
        <w:numPr>
          <w:ilvl w:val="1"/>
          <w:numId w:val="1012"/>
        </w:numPr>
        <w:pStyle w:val="Compact"/>
      </w:pPr>
      <w:r>
        <w:t xml:space="preserve">Different applications can use different providers.</w:t>
      </w:r>
    </w:p>
    <w:p>
      <w:pPr>
        <w:numPr>
          <w:ilvl w:val="0"/>
          <w:numId w:val="1011"/>
        </w:numPr>
        <w:pStyle w:val="Compact"/>
      </w:pPr>
      <w:r>
        <w:rPr>
          <w:bCs/>
          <w:b/>
        </w:rPr>
        <w:t xml:space="preserve">Tradeoffs:</w:t>
      </w:r>
    </w:p>
    <w:p>
      <w:pPr>
        <w:numPr>
          <w:ilvl w:val="1"/>
          <w:numId w:val="1013"/>
        </w:numPr>
        <w:pStyle w:val="Compact"/>
      </w:pPr>
      <w:r>
        <w:t xml:space="preserve">If users of the same application need different upstream IDPs, define how that routing will happen, such as through an identity broker.</w:t>
      </w:r>
    </w:p>
    <w:p>
      <w:pPr>
        <w:numPr>
          <w:ilvl w:val="0"/>
          <w:numId w:val="1011"/>
        </w:numPr>
        <w:pStyle w:val="Compact"/>
      </w:pPr>
      <w:r>
        <w:rPr>
          <w:bCs/>
          <w:b/>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37"/>
    <w:bookmarkStart w:id="39"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numPr>
          <w:ilvl w:val="0"/>
          <w:numId w:val="1014"/>
        </w:numPr>
        <w:pStyle w:val="Compact"/>
      </w:pPr>
      <w:r>
        <w:rPr>
          <w:bCs/>
          <w:b/>
        </w:rPr>
        <w:t xml:space="preserve">Advantages:</w:t>
      </w:r>
    </w:p>
    <w:p>
      <w:pPr>
        <w:numPr>
          <w:ilvl w:val="1"/>
          <w:numId w:val="1015"/>
        </w:numPr>
        <w:pStyle w:val="Compact"/>
      </w:pPr>
      <w:r>
        <w:t xml:space="preserve">An organization’s SSO applies across Medplum applications, including the Medplum App.</w:t>
      </w:r>
    </w:p>
    <w:p>
      <w:pPr>
        <w:numPr>
          <w:ilvl w:val="0"/>
          <w:numId w:val="1014"/>
        </w:numPr>
        <w:pStyle w:val="Compact"/>
      </w:pPr>
      <w:r>
        <w:rPr>
          <w:bCs/>
          <w:b/>
        </w:rPr>
        <w:t xml:space="preserve">Tradeoffs:</w:t>
      </w:r>
    </w:p>
    <w:p>
      <w:pPr>
        <w:numPr>
          <w:ilvl w:val="1"/>
          <w:numId w:val="1016"/>
        </w:numPr>
        <w:pStyle w:val="Compact"/>
      </w:pPr>
      <w:r>
        <w:t xml:space="preserve">Applies to all users of the domain, including developer accounts.</w:t>
      </w:r>
    </w:p>
    <w:p>
      <w:pPr>
        <w:numPr>
          <w:ilvl w:val="1"/>
          <w:numId w:val="1016"/>
        </w:numPr>
        <w:pStyle w:val="Compact"/>
      </w:pPr>
      <w:r>
        <w:t xml:space="preserve">Hosted setup requires Enterprise and Medplum assistance; self-hosted setup requires super admin privileges.</w:t>
      </w:r>
    </w:p>
    <w:p>
      <w:pPr>
        <w:numPr>
          <w:ilvl w:val="0"/>
          <w:numId w:val="1014"/>
        </w:numPr>
        <w:pStyle w:val="Compact"/>
      </w:pPr>
      <w:r>
        <w:rPr>
          <w:bCs/>
          <w:b/>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38">
        <w:r>
          <w:rPr>
            <w:rStyle w:val="Hyperlink"/>
          </w:rPr>
          <w:t xml:space="preserve">Domain-level Identity Providers</w:t>
        </w:r>
      </w:hyperlink>
      <w:r>
        <w:t xml:space="preserve">.</w:t>
      </w:r>
    </w:p>
    <w:bookmarkEnd w:id="39"/>
    <w:bookmarkStart w:id="40"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Cs/>
          <w:b/>
        </w:rPr>
        <w:t xml:space="preserve">Record:</w:t>
      </w:r>
      <w:r>
        <w:t xml:space="preserve"> </w:t>
      </w:r>
      <w:r>
        <w:t xml:space="preserve">Credential owner and routing mechanism for each population.</w:t>
      </w:r>
    </w:p>
    <w:bookmarkEnd w:id="40"/>
    <w:bookmarkEnd w:id="41"/>
    <w:bookmarkStart w:id="52"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Cs/>
          <w:b/>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w:t>
      </w:r>
      <w:r>
        <w:t xml:space="preserve">Client</w:t>
      </w:r>
      <w:r>
        <w:t xml:space="preserve">”</w:t>
      </w:r>
      <w:r>
        <w:t xml:space="preserve"> </w:t>
      </w:r>
      <w:r>
        <w:t xml:space="preserve">below means your browser or native application.</w:t>
      </w:r>
      <w:r>
        <w:t xml:space="preserve"> </w:t>
      </w:r>
      <w:r>
        <w:t xml:space="preserve">“</w:t>
      </w:r>
      <w:r>
        <w:t xml:space="preserve">Server</w:t>
      </w:r>
      <w:r>
        <w:t xml:space="preserve">”</w:t>
      </w:r>
      <w:r>
        <w:t xml:space="preserve"> </w:t>
      </w:r>
      <w:r>
        <w:t xml:space="preserve">means your trusted application backend. The options below primarily address external or existing authentication. If you chose Medplum-managed authentication, choose</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then resolve the additional decisions below.</w:t>
      </w:r>
    </w:p>
    <w:p>
      <w:pPr>
        <w:pStyle w:val="BodyText"/>
      </w:pPr>
      <w:r>
        <w:rPr>
          <w:bCs/>
          <w:b/>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42" w:name="X06ef6992b4244c84c87e3bcb06a64645d3251f5"/>
    <w:p>
      <w:pPr>
        <w:pStyle w:val="Heading3"/>
      </w:pPr>
      <w:r>
        <w:t xml:space="preserve">Option A: External IDP authorization-code flow</w:t>
      </w:r>
    </w:p>
    <w:p>
      <w:pPr>
        <w:pStyle w:val="FirstParagraph"/>
      </w:pPr>
      <w:r>
        <w:t xml:space="preserve">Often called</w:t>
      </w:r>
      <w:r>
        <w:t xml:space="preserve"> </w:t>
      </w:r>
      <w:r>
        <w:rPr>
          <w:bCs/>
          <w:b/>
        </w:rPr>
        <w:t xml:space="preserve">three-legged OAuth</w:t>
      </w:r>
      <w:r>
        <w:t xml:space="preserve">, this flow lets Medplum handle the external authentication callback and issue Medplum tokens to your application.</w:t>
      </w:r>
    </w:p>
    <w:p>
      <w:pPr>
        <w:numPr>
          <w:ilvl w:val="0"/>
          <w:numId w:val="1017"/>
        </w:numPr>
        <w:pStyle w:val="Compact"/>
      </w:pPr>
      <w:r>
        <w:t xml:space="preserve">The user starts login and authenticates with the external IDP.</w:t>
      </w:r>
    </w:p>
    <w:p>
      <w:pPr>
        <w:numPr>
          <w:ilvl w:val="0"/>
          <w:numId w:val="1017"/>
        </w:numPr>
        <w:pStyle w:val="Compact"/>
      </w:pPr>
      <w:r>
        <w:t xml:space="preserve">The IDP redirects to Medplum’s external authentication callback.</w:t>
      </w:r>
    </w:p>
    <w:p>
      <w:pPr>
        <w:numPr>
          <w:ilvl w:val="0"/>
          <w:numId w:val="1017"/>
        </w:numPr>
        <w:pStyle w:val="Compact"/>
      </w:pPr>
      <w:r>
        <w:t xml:space="preserve">Medplum redirects to your application with a Medplum authorization code.</w:t>
      </w:r>
    </w:p>
    <w:p>
      <w:pPr>
        <w:numPr>
          <w:ilvl w:val="0"/>
          <w:numId w:val="1017"/>
        </w:numPr>
        <w:pStyle w:val="Compact"/>
      </w:pPr>
      <w:r>
        <w:t xml:space="preserve">Your application exchanges that code for Medplum tokens.</w:t>
      </w:r>
    </w:p>
    <w:p>
      <w:pPr>
        <w:numPr>
          <w:ilvl w:val="0"/>
          <w:numId w:val="1018"/>
        </w:numPr>
        <w:pStyle w:val="Compact"/>
      </w:pPr>
      <w:r>
        <w:rPr>
          <w:bCs/>
          <w:b/>
        </w:rPr>
        <w:t xml:space="preserve">Advantages:</w:t>
      </w:r>
    </w:p>
    <w:p>
      <w:pPr>
        <w:numPr>
          <w:ilvl w:val="1"/>
          <w:numId w:val="1019"/>
        </w:numPr>
        <w:pStyle w:val="Compact"/>
      </w:pPr>
      <w:r>
        <w:t xml:space="preserve">The client can call Medplum directly without retaining an external access token for this flow.</w:t>
      </w:r>
    </w:p>
    <w:p>
      <w:pPr>
        <w:numPr>
          <w:ilvl w:val="1"/>
          <w:numId w:val="1019"/>
        </w:numPr>
        <w:pStyle w:val="Compact"/>
      </w:pPr>
      <w:r>
        <w:t xml:space="preserve">Fits direct SDK and authenticated component use without a proxy for Medplum requests.</w:t>
      </w:r>
    </w:p>
    <w:p>
      <w:pPr>
        <w:numPr>
          <w:ilvl w:val="0"/>
          <w:numId w:val="1018"/>
        </w:numPr>
        <w:pStyle w:val="Compact"/>
      </w:pPr>
      <w:r>
        <w:rPr>
          <w:bCs/>
          <w:b/>
        </w:rPr>
        <w:t xml:space="preserve">Tradeoffs:</w:t>
      </w:r>
    </w:p>
    <w:p>
      <w:pPr>
        <w:numPr>
          <w:ilvl w:val="1"/>
          <w:numId w:val="1020"/>
        </w:numPr>
        <w:pStyle w:val="Compact"/>
      </w:pPr>
      <w:r>
        <w:t xml:space="preserve">Requires a redirect/callback flow and coordination of redirect settings with the IDP.</w:t>
      </w:r>
    </w:p>
    <w:p>
      <w:pPr>
        <w:numPr>
          <w:ilvl w:val="1"/>
          <w:numId w:val="1020"/>
        </w:numPr>
        <w:pStyle w:val="Compact"/>
      </w:pPr>
      <w:r>
        <w:t xml:space="preserve">Does not give the client an external access token to reuse with other services. If your application needs to obtain and manage that token through its own login flow, evaluate token exchange.</w:t>
      </w:r>
    </w:p>
    <w:p>
      <w:pPr>
        <w:numPr>
          <w:ilvl w:val="1"/>
          <w:numId w:val="1020"/>
        </w:numPr>
        <w:pStyle w:val="Compact"/>
      </w:pPr>
      <w:r>
        <w:t xml:space="preserve">A Medplum logout does not by itself define what happens to the external IDP’s SSO session; choose whether users should be signed out there too.</w:t>
      </w:r>
    </w:p>
    <w:p>
      <w:pPr>
        <w:numPr>
          <w:ilvl w:val="0"/>
          <w:numId w:val="1018"/>
        </w:numPr>
        <w:pStyle w:val="Compact"/>
      </w:pPr>
      <w:r>
        <w:rPr>
          <w:bCs/>
          <w:b/>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42"/>
    <w:bookmarkStart w:id="47"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numPr>
          <w:ilvl w:val="0"/>
          <w:numId w:val="1021"/>
        </w:numPr>
        <w:pStyle w:val="Compact"/>
      </w:pPr>
      <w:r>
        <w:rPr>
          <w:bCs/>
          <w:b/>
        </w:rPr>
        <w:t xml:space="preserve">Advantages:</w:t>
      </w:r>
    </w:p>
    <w:p>
      <w:pPr>
        <w:numPr>
          <w:ilvl w:val="1"/>
          <w:numId w:val="1022"/>
        </w:numPr>
        <w:pStyle w:val="Compact"/>
      </w:pPr>
      <w:r>
        <w:t xml:space="preserve">Reuses a valid external login without a second interactive login to Medplum.</w:t>
      </w:r>
    </w:p>
    <w:p>
      <w:pPr>
        <w:numPr>
          <w:ilvl w:val="1"/>
          <w:numId w:val="1022"/>
        </w:numPr>
        <w:pStyle w:val="Compact"/>
      </w:pPr>
      <w:r>
        <w:t xml:space="preserve">Lets your application continue handling the external IDP callback, token acquisition, and IDP-routing logic itself.</w:t>
      </w:r>
    </w:p>
    <w:p>
      <w:pPr>
        <w:numPr>
          <w:ilvl w:val="1"/>
          <w:numId w:val="1022"/>
        </w:numPr>
        <w:pStyle w:val="Compact"/>
      </w:pPr>
      <w:r>
        <w:t xml:space="preserve">Produces a user-scoped Medplum token that can be used in either the client or backend.</w:t>
      </w:r>
    </w:p>
    <w:p>
      <w:pPr>
        <w:numPr>
          <w:ilvl w:val="0"/>
          <w:numId w:val="1021"/>
        </w:numPr>
        <w:pStyle w:val="Compact"/>
      </w:pPr>
      <w:r>
        <w:rPr>
          <w:bCs/>
          <w:b/>
        </w:rPr>
        <w:t xml:space="preserve">Tradeoffs:</w:t>
      </w:r>
    </w:p>
    <w:p>
      <w:pPr>
        <w:numPr>
          <w:ilvl w:val="1"/>
          <w:numId w:val="1023"/>
        </w:numPr>
        <w:pStyle w:val="Compact"/>
      </w:pPr>
      <w:r>
        <w:t xml:space="preserve">Requires a supported external access token and configured UserInfo validation. An ID token or arbitrary application session cookie is not an interchangeable input.</w:t>
      </w:r>
    </w:p>
    <w:p>
      <w:pPr>
        <w:numPr>
          <w:ilvl w:val="1"/>
          <w:numId w:val="1023"/>
        </w:numPr>
        <w:pStyle w:val="Compact"/>
      </w:pPr>
      <w:r>
        <w:t xml:space="preserve">You must coordinate external and Medplum credential lifecycles and select the intended membership.</w:t>
      </w:r>
    </w:p>
    <w:p>
      <w:pPr>
        <w:numPr>
          <w:ilvl w:val="1"/>
          <w:numId w:val="1023"/>
        </w:numPr>
        <w:pStyle w:val="Compact"/>
      </w:pPr>
      <w:r>
        <w:t xml:space="preserve">Other APIs must accept the appropriate credentials for their own audience and scopes; token exchange does not make one external token valid for every service.</w:t>
      </w:r>
    </w:p>
    <w:p>
      <w:pPr>
        <w:numPr>
          <w:ilvl w:val="0"/>
          <w:numId w:val="1021"/>
        </w:numPr>
        <w:pStyle w:val="Compact"/>
      </w:pPr>
      <w:r>
        <w:rPr>
          <w:bCs/>
          <w:b/>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46"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Cs/>
          <w:b/>
        </w:rPr>
        <w:t xml:space="preserve">user-scoped Medplum tokens</w:t>
      </w:r>
      <w:r>
        <w:t xml:space="preserve">. The choice changes where credentials are managed and which system carries requests to Medplum.</w:t>
      </w:r>
    </w:p>
    <w:bookmarkStart w:id="43"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numPr>
          <w:ilvl w:val="0"/>
          <w:numId w:val="1024"/>
        </w:numPr>
        <w:pStyle w:val="Compact"/>
      </w:pPr>
      <w:r>
        <w:rPr>
          <w:bCs/>
          <w:b/>
        </w:rPr>
        <w:t xml:space="preserve">Advantages:</w:t>
      </w:r>
    </w:p>
    <w:p>
      <w:pPr>
        <w:numPr>
          <w:ilvl w:val="1"/>
          <w:numId w:val="1025"/>
        </w:numPr>
        <w:pStyle w:val="Compact"/>
      </w:pPr>
      <w:r>
        <w:t xml:space="preserve">Direct SDK/API access and authenticated React components fit naturally.</w:t>
      </w:r>
    </w:p>
    <w:p>
      <w:pPr>
        <w:numPr>
          <w:ilvl w:val="1"/>
          <w:numId w:val="1025"/>
        </w:numPr>
        <w:pStyle w:val="Compact"/>
      </w:pPr>
      <w:r>
        <w:t xml:space="preserve">WebSocket subscriptions connect directly to Medplum.</w:t>
      </w:r>
    </w:p>
    <w:p>
      <w:pPr>
        <w:numPr>
          <w:ilvl w:val="1"/>
          <w:numId w:val="1025"/>
        </w:numPr>
        <w:pStyle w:val="Compact"/>
      </w:pPr>
      <w:r>
        <w:t xml:space="preserve">No application proxy is needed for those requests.</w:t>
      </w:r>
    </w:p>
    <w:p>
      <w:pPr>
        <w:numPr>
          <w:ilvl w:val="0"/>
          <w:numId w:val="1024"/>
        </w:numPr>
        <w:pStyle w:val="Compact"/>
      </w:pPr>
      <w:r>
        <w:rPr>
          <w:bCs/>
          <w:b/>
        </w:rPr>
        <w:t xml:space="preserve">Tradeoffs:</w:t>
      </w:r>
    </w:p>
    <w:p>
      <w:pPr>
        <w:numPr>
          <w:ilvl w:val="1"/>
          <w:numId w:val="1026"/>
        </w:numPr>
        <w:pStyle w:val="Compact"/>
      </w:pPr>
      <w:r>
        <w:t xml:space="preserve">The client manages both external and Medplum credentials, including expiry, refresh, and logout.</w:t>
      </w:r>
    </w:p>
    <w:p>
      <w:pPr>
        <w:numPr>
          <w:ilvl w:val="1"/>
          <w:numId w:val="1026"/>
        </w:numPr>
        <w:pStyle w:val="Compact"/>
      </w:pPr>
      <w:r>
        <w:t xml:space="preserve">Medplum credentials are present in the client. Choose storage and session controls appropriate to the browser or native platform.</w:t>
      </w:r>
    </w:p>
    <w:p>
      <w:pPr>
        <w:numPr>
          <w:ilvl w:val="1"/>
          <w:numId w:val="1026"/>
        </w:numPr>
        <w:pStyle w:val="Compact"/>
      </w:pPr>
      <w:r>
        <w:t xml:space="preserve">Every direct API request must be constrained by Medplum access policies; UI restrictions cannot enforce permissions.</w:t>
      </w:r>
    </w:p>
    <w:p>
      <w:pPr>
        <w:numPr>
          <w:ilvl w:val="0"/>
          <w:numId w:val="1024"/>
        </w:numPr>
        <w:pStyle w:val="Compact"/>
      </w:pPr>
      <w:r>
        <w:rPr>
          <w:bCs/>
          <w:b/>
        </w:rPr>
        <w:t xml:space="preserve">Best fit:</w:t>
      </w:r>
      <w:r>
        <w:t xml:space="preserve"> </w:t>
      </w:r>
      <w:r>
        <w:t xml:space="preserve">Direct Medplum access is valuable and the client can manage both credential lifecycles.</w:t>
      </w:r>
    </w:p>
    <w:bookmarkEnd w:id="43"/>
    <w:bookmarkStart w:id="45"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numPr>
          <w:ilvl w:val="0"/>
          <w:numId w:val="1027"/>
        </w:numPr>
        <w:pStyle w:val="Compact"/>
      </w:pPr>
      <w:r>
        <w:rPr>
          <w:bCs/>
          <w:b/>
        </w:rPr>
        <w:t xml:space="preserve">Advantages:</w:t>
      </w:r>
    </w:p>
    <w:p>
      <w:pPr>
        <w:numPr>
          <w:ilvl w:val="1"/>
          <w:numId w:val="1028"/>
        </w:numPr>
        <w:pStyle w:val="Compact"/>
      </w:pPr>
      <w:r>
        <w:t xml:space="preserve">Medplum credentials stay out of the client, so the client does not need to manage a second API credential lifecycle.</w:t>
      </w:r>
    </w:p>
    <w:p>
      <w:pPr>
        <w:numPr>
          <w:ilvl w:val="1"/>
          <w:numId w:val="1028"/>
        </w:numPr>
        <w:pStyle w:val="Compact"/>
      </w:pPr>
      <w:r>
        <w:t xml:space="preserve">Fits an existing backend that coordinates multiple services or deliberately mediates all data access.</w:t>
      </w:r>
    </w:p>
    <w:p>
      <w:pPr>
        <w:numPr>
          <w:ilvl w:val="1"/>
          <w:numId w:val="1028"/>
        </w:numPr>
        <w:pStyle w:val="Compact"/>
      </w:pPr>
      <w:r>
        <w:t xml:space="preserve">Medplum still enforces the resolved user’s access policy on the backend’s requests.</w:t>
      </w:r>
    </w:p>
    <w:p>
      <w:pPr>
        <w:numPr>
          <w:ilvl w:val="0"/>
          <w:numId w:val="1027"/>
        </w:numPr>
        <w:pStyle w:val="Compact"/>
      </w:pPr>
      <w:r>
        <w:rPr>
          <w:bCs/>
          <w:b/>
        </w:rPr>
        <w:t xml:space="preserve">Tradeoffs:</w:t>
      </w:r>
    </w:p>
    <w:p>
      <w:pPr>
        <w:numPr>
          <w:ilvl w:val="1"/>
          <w:numId w:val="1029"/>
        </w:numPr>
        <w:pStyle w:val="Compact"/>
      </w:pPr>
      <w:r>
        <w:t xml:space="preserve">Credential renewal and logout work move to the backend; they do not disappear.</w:t>
      </w:r>
    </w:p>
    <w:p>
      <w:pPr>
        <w:numPr>
          <w:ilvl w:val="1"/>
          <w:numId w:val="1029"/>
        </w:numPr>
        <w:pStyle w:val="Compact"/>
      </w:pPr>
      <w:r>
        <w:t xml:space="preserve">Your team operates the proxy and per-user token cache. This adds a request hop and another service whose availability and capacity affect Medplum access.</w:t>
      </w:r>
    </w:p>
    <w:p>
      <w:pPr>
        <w:numPr>
          <w:ilvl w:val="1"/>
          <w:numId w:val="1029"/>
        </w:numPr>
        <w:pStyle w:val="Compact"/>
      </w:pPr>
      <w:r>
        <w:t xml:space="preserve">Live updates need a path from Medplum through your backend to the client. Components expecting a directly authenticated Medplum client need adaptation.</w:t>
      </w:r>
    </w:p>
    <w:p>
      <w:pPr>
        <w:numPr>
          <w:ilvl w:val="1"/>
          <w:numId w:val="1029"/>
        </w:numPr>
        <w:pStyle w:val="Compact"/>
      </w:pPr>
      <w:r>
        <w:t xml:space="preserve">Every request must resolve to the correct user, membership, and cached token. A shared service token is not a substitute.</w:t>
      </w:r>
    </w:p>
    <w:p>
      <w:pPr>
        <w:numPr>
          <w:ilvl w:val="0"/>
          <w:numId w:val="1027"/>
        </w:numPr>
        <w:pStyle w:val="Compact"/>
      </w:pPr>
      <w:r>
        <w:rPr>
          <w:bCs/>
          <w:b/>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44">
        <w:r>
          <w:rPr>
            <w:rStyle w:val="Hyperlink"/>
          </w:rPr>
          <w:t xml:space="preserve">Token Exchange</w:t>
        </w:r>
      </w:hyperlink>
      <w:r>
        <w:t xml:space="preserve">.</w:t>
      </w:r>
    </w:p>
    <w:bookmarkEnd w:id="45"/>
    <w:bookmarkEnd w:id="46"/>
    <w:bookmarkEnd w:id="47"/>
    <w:bookmarkStart w:id="50"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numPr>
          <w:ilvl w:val="0"/>
          <w:numId w:val="1030"/>
        </w:numPr>
        <w:pStyle w:val="Compact"/>
      </w:pPr>
      <w:r>
        <w:rPr>
          <w:bCs/>
          <w:b/>
        </w:rPr>
        <w:t xml:space="preserve">Advantages:</w:t>
      </w:r>
    </w:p>
    <w:p>
      <w:pPr>
        <w:numPr>
          <w:ilvl w:val="1"/>
          <w:numId w:val="1031"/>
        </w:numPr>
        <w:pStyle w:val="Compact"/>
      </w:pPr>
      <w:r>
        <w:t xml:space="preserve">Supports a backend that owns user authentication but cannot exchange a supported external access token.</w:t>
      </w:r>
    </w:p>
    <w:p>
      <w:pPr>
        <w:numPr>
          <w:ilvl w:val="1"/>
          <w:numId w:val="1031"/>
        </w:numPr>
        <w:pStyle w:val="Compact"/>
      </w:pPr>
      <w:r>
        <w:t xml:space="preserve">Retains user attribution and policy enforcement when correctly configured.</w:t>
      </w:r>
    </w:p>
    <w:p>
      <w:pPr>
        <w:numPr>
          <w:ilvl w:val="0"/>
          <w:numId w:val="1030"/>
        </w:numPr>
        <w:pStyle w:val="Compact"/>
      </w:pPr>
      <w:r>
        <w:rPr>
          <w:bCs/>
          <w:b/>
        </w:rPr>
        <w:t xml:space="preserve">Tradeoffs:</w:t>
      </w:r>
    </w:p>
    <w:p>
      <w:pPr>
        <w:numPr>
          <w:ilvl w:val="1"/>
          <w:numId w:val="1032"/>
        </w:numPr>
        <w:pStyle w:val="Compact"/>
      </w:pPr>
      <w:r>
        <w:t xml:space="preserve">Requires an application with Project Admin rights and a trusted identity-to-membership mapping.</w:t>
      </w:r>
    </w:p>
    <w:p>
      <w:pPr>
        <w:numPr>
          <w:ilvl w:val="1"/>
          <w:numId w:val="1032"/>
        </w:numPr>
        <w:pStyle w:val="Compact"/>
      </w:pPr>
      <w:r>
        <w:t xml:space="preserve">Without the header, requests use the application’s own access. A wrong valid membership can act for the wrong user.</w:t>
      </w:r>
    </w:p>
    <w:p>
      <w:pPr>
        <w:numPr>
          <w:ilvl w:val="1"/>
          <w:numId w:val="1032"/>
        </w:numPr>
        <w:pStyle w:val="Compact"/>
      </w:pPr>
      <w:r>
        <w:t xml:space="preserve">Your backend is responsible for authenticating the person and choosing the delegation context; the header itself is not proof of the user’s identity.</w:t>
      </w:r>
    </w:p>
    <w:p>
      <w:pPr>
        <w:numPr>
          <w:ilvl w:val="0"/>
          <w:numId w:val="1030"/>
        </w:numPr>
        <w:pStyle w:val="Compact"/>
      </w:pPr>
      <w:r>
        <w:rPr>
          <w:bCs/>
          <w:b/>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Cs/>
          <w:b/>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48">
        <w:r>
          <w:rPr>
            <w:rStyle w:val="Hyperlink"/>
          </w:rPr>
          <w:t xml:space="preserve">Client Credentials</w:t>
        </w:r>
      </w:hyperlink>
      <w:r>
        <w:t xml:space="preserve">. Include the delegation header on each user request; it does not persist across requests. Follow the</w:t>
      </w:r>
      <w:r>
        <w:t xml:space="preserve"> </w:t>
      </w:r>
      <w:hyperlink r:id="rId49">
        <w:r>
          <w:rPr>
            <w:rStyle w:val="Hyperlink"/>
          </w:rPr>
          <w:t xml:space="preserve">On-Behalf-Of documentation</w:t>
        </w:r>
      </w:hyperlink>
      <w:r>
        <w:t xml:space="preserve"> </w:t>
      </w:r>
      <w:r>
        <w:t xml:space="preserve">for attribution metadata and configuration.</w:t>
      </w:r>
    </w:p>
    <w:bookmarkEnd w:id="50"/>
    <w:bookmarkStart w:id="51" w:name="recommended-approach-2"/>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586"/>
        <w:gridCol w:w="477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Medplum can handle the external IDP callback, and the client primarily needs Medplum access</w:t>
            </w:r>
          </w:p>
        </w:tc>
        <w:tc>
          <w:tcPr/>
          <w:p>
            <w:pPr>
              <w:pStyle w:val="Compact"/>
              <w:jc w:val="left"/>
            </w:pPr>
            <w:r>
              <w:t xml:space="preserve">Start with the authorization-code flow.</w:t>
            </w:r>
          </w:p>
        </w:tc>
      </w:tr>
      <w:tr>
        <w:trPr>
          <w:cantSplit/>
        </w:trPr>
        <w:tc>
          <w:tcPr/>
          <w:p>
            <w:pPr>
              <w:pStyle w:val="Compact"/>
              <w:jc w:val="left"/>
            </w:pPr>
            <w:r>
              <w:t xml:space="preserve">Application obtains a supported external access token through its own login flow and needs direct Medplum client access</w:t>
            </w:r>
          </w:p>
        </w:tc>
        <w:tc>
          <w:tcPr/>
          <w:p>
            <w:pPr>
              <w:pStyle w:val="Compact"/>
              <w:jc w:val="left"/>
            </w:pPr>
            <w:r>
              <w:t xml:space="preserve">Use token exchange with Medplum tokens in the client.</w:t>
            </w:r>
          </w:p>
        </w:tc>
      </w:tr>
      <w:tr>
        <w:trPr>
          <w:cantSplit/>
        </w:trPr>
        <w:tc>
          <w:tcPr/>
          <w:p>
            <w:pPr>
              <w:pStyle w:val="Compact"/>
              <w:jc w:val="left"/>
            </w:pPr>
            <w:r>
              <w:t xml:space="preserve">Application obtains a supported external access token through its own login flow and mediates Medplum access through its backend</w:t>
            </w:r>
          </w:p>
        </w:tc>
        <w:tc>
          <w:tcPr/>
          <w:p>
            <w:pPr>
              <w:pStyle w:val="Compact"/>
              <w:jc w:val="left"/>
            </w:pPr>
            <w:r>
              <w:t xml:space="preserve">Use token exchange with Medplum tokens on the server.</w:t>
            </w:r>
          </w:p>
        </w:tc>
      </w:tr>
      <w:tr>
        <w:trPr>
          <w:cantSplit/>
        </w:trPr>
        <w:tc>
          <w:tcPr/>
          <w:p>
            <w:pPr>
              <w:pStyle w:val="Compact"/>
              <w:jc w:val="left"/>
            </w:pPr>
            <w:r>
              <w:t xml:space="preserve">Backend can use either user-scoped exchange or On-Behalf-Of</w:t>
            </w:r>
          </w:p>
        </w:tc>
        <w:tc>
          <w:tcPr/>
          <w:p>
            <w:pPr>
              <w:pStyle w:val="Compact"/>
              <w:jc w:val="left"/>
            </w:pPr>
            <w:r>
              <w:t xml:space="preserve">Prefer user-scoped exchange to avoid depending on a privileged application credential and a delegation header.</w:t>
            </w:r>
          </w:p>
        </w:tc>
      </w:tr>
      <w:tr>
        <w:trPr>
          <w:cantSplit/>
        </w:trPr>
        <w:tc>
          <w:tcPr/>
          <w:p>
            <w:pPr>
              <w:pStyle w:val="Compact"/>
              <w:jc w:val="left"/>
            </w:pPr>
            <w:r>
              <w:t xml:space="preserve">Legacy authentication prevents supported token exchange</w:t>
            </w:r>
          </w:p>
        </w:tc>
        <w:tc>
          <w:tcPr/>
          <w:p>
            <w:pPr>
              <w:pStyle w:val="Compact"/>
              <w:jc w:val="left"/>
            </w:pPr>
            <w:r>
              <w:t xml:space="preserve">Evaluate On-Behalf-Of with explicit ownership of authentication, mapping, and delegation controls.</w:t>
            </w:r>
          </w:p>
        </w:tc>
      </w:tr>
    </w:tbl>
    <w:p>
      <w:pPr>
        <w:pStyle w:val="BodyText"/>
      </w:pPr>
      <w:r>
        <w:rPr>
          <w:bCs/>
          <w:b/>
        </w:rPr>
        <w:t xml:space="preserve">Record:</w:t>
      </w:r>
      <w:r>
        <w:t xml:space="preserve"> </w:t>
      </w:r>
      <w:r>
        <w:t xml:space="preserve">Token flow, token location, membership-selection rules, and ownership of proxy operations and credential lifecycles.</w:t>
      </w:r>
    </w:p>
    <w:bookmarkEnd w:id="51"/>
    <w:bookmarkEnd w:id="52"/>
    <w:bookmarkStart w:id="65"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54"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ook w:firstRow="1" w:lastRow="0" w:firstColumn="0" w:lastColumn="0" w:noHBand="0" w:noVBand="0" w:val="0020"/>
        <w:jc w:val="start"/>
        <w:tblLayout w:type="fixed"/>
      </w:tblPr>
      <w:tblGrid>
        <w:gridCol w:w="4611"/>
        <w:gridCol w:w="474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and clinicians primarily use one production project</w:t>
            </w:r>
          </w:p>
        </w:tc>
        <w:tc>
          <w:tcPr/>
          <w:p>
            <w:pPr>
              <w:pStyle w:val="Compact"/>
              <w:jc w:val="left"/>
            </w:pPr>
            <w:r>
              <w:t xml:space="preserve">Explicitly choose project-scoped users; the Practitioner default is server-scoped.</w:t>
            </w:r>
          </w:p>
        </w:tc>
      </w:tr>
      <w:tr>
        <w:trPr>
          <w:cantSplit/>
        </w:trPr>
        <w:tc>
          <w:tcPr/>
          <w:p>
            <w:pPr>
              <w:pStyle w:val="Compact"/>
              <w:jc w:val="left"/>
            </w:pPr>
            <w:r>
              <w:t xml:space="preserve">Developers or administrators need multiple projects</w:t>
            </w:r>
          </w:p>
        </w:tc>
        <w:tc>
          <w:tcPr/>
          <w:p>
            <w:pPr>
              <w:pStyle w:val="Compact"/>
              <w:jc w:val="left"/>
            </w:pPr>
            <w:r>
              <w:t xml:space="preserve">Evaluate server-scoped users and the required memberships. Hosted administrative control differs by user scope.</w:t>
            </w:r>
          </w:p>
        </w:tc>
      </w:tr>
      <w:tr>
        <w:trPr>
          <w:cantSplit/>
        </w:trPr>
        <w:tc>
          <w:tcPr/>
          <w:p>
            <w:pPr>
              <w:pStyle w:val="Compact"/>
              <w:jc w:val="left"/>
            </w:pPr>
            <w:r>
              <w:t xml:space="preserve">Token exchange has multiple candidate memberships</w:t>
            </w:r>
          </w:p>
        </w:tc>
        <w:tc>
          <w:tcPr/>
          <w:p>
            <w:pPr>
              <w:pStyle w:val="Compact"/>
              <w:jc w:val="lef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jc w:val="left"/>
            </w:pPr>
            <w:r>
              <w:t xml:space="preserve">Exchange must reach another project</w:t>
            </w:r>
          </w:p>
        </w:tc>
        <w:tc>
          <w:tcPr/>
          <w:p>
            <w:pPr>
              <w:pStyle w:val="Compact"/>
              <w:jc w:val="lef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24">
        <w:r>
          <w:rPr>
            <w:rStyle w:val="Hyperlink"/>
          </w:rPr>
          <w:t xml:space="preserve">User Management</w:t>
        </w:r>
      </w:hyperlink>
      <w:r>
        <w:t xml:space="preserve">,</w:t>
      </w:r>
      <w:r>
        <w:t xml:space="preserve"> </w:t>
      </w:r>
      <w:hyperlink r:id="rId53">
        <w:r>
          <w:rPr>
            <w:rStyle w:val="Hyperlink"/>
          </w:rPr>
          <w:t xml:space="preserve">User Scopes</w:t>
        </w:r>
      </w:hyperlink>
      <w:r>
        <w:t xml:space="preserve">,</w:t>
      </w:r>
      <w:r>
        <w:t xml:space="preserve"> </w:t>
      </w:r>
      <w:hyperlink r:id="rId44">
        <w:r>
          <w:rPr>
            <w:rStyle w:val="Hyperlink"/>
          </w:rPr>
          <w:t xml:space="preserve">Token Exchange</w:t>
        </w:r>
      </w:hyperlink>
      <w:r>
        <w:t xml:space="preserve">.</w:t>
      </w:r>
    </w:p>
    <w:bookmarkEnd w:id="54"/>
    <w:bookmarkStart w:id="58"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55">
        <w:r>
          <w:rPr>
            <w:rStyle w:val="Hyperlink"/>
          </w:rPr>
          <w:t xml:space="preserve">MFA</w:t>
        </w:r>
      </w:hyperlink>
      <w:r>
        <w:t xml:space="preserve">,</w:t>
      </w:r>
      <w:r>
        <w:t xml:space="preserve"> </w:t>
      </w:r>
      <w:hyperlink r:id="rId56">
        <w:r>
          <w:rPr>
            <w:rStyle w:val="Hyperlink"/>
          </w:rPr>
          <w:t xml:space="preserve">Access Token Management</w:t>
        </w:r>
      </w:hyperlink>
      <w:r>
        <w:t xml:space="preserve">,</w:t>
      </w:r>
      <w:r>
        <w:t xml:space="preserve"> </w:t>
      </w:r>
      <w:hyperlink r:id="rId57">
        <w:r>
          <w:rPr>
            <w:rStyle w:val="Hyperlink"/>
          </w:rPr>
          <w:t xml:space="preserve">Logout</w:t>
        </w:r>
      </w:hyperlink>
      <w:r>
        <w:t xml:space="preserve">.</w:t>
      </w:r>
    </w:p>
    <w:bookmarkEnd w:id="58"/>
    <w:bookmarkStart w:id="64" w:name="do-you-need-a-specialized-flow"/>
    <w:p>
      <w:pPr>
        <w:pStyle w:val="Heading3"/>
      </w:pPr>
      <w:r>
        <w:t xml:space="preserve">Do you need a specialized flow?</w:t>
      </w:r>
    </w:p>
    <w:tbl>
      <w:tblPr>
        <w:tblStyle w:val="Table"/>
        <w:tblW w:w="9360" w:type="dxa"/>
        <w:tblLook w:firstRow="1" w:lastRow="0" w:firstColumn="0" w:lastColumn="0" w:noHBand="0" w:noVBand="0" w:val="0020"/>
        <w:jc w:val="start"/>
        <w:tblLayout w:type="fixed"/>
      </w:tblPr>
      <w:tblGrid>
        <w:gridCol w:w="4705"/>
        <w:gridCol w:w="465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Background service acts as itself</w:t>
            </w:r>
          </w:p>
        </w:tc>
        <w:tc>
          <w:tcPr/>
          <w:p>
            <w:pPr>
              <w:pStyle w:val="Compact"/>
              <w:jc w:val="left"/>
            </w:pPr>
            <w:r>
              <w:t xml:space="preserve">Use</w:t>
            </w:r>
            <w:r>
              <w:t xml:space="preserve"> </w:t>
            </w:r>
            <w:hyperlink r:id="rId48">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jc w:val="left"/>
            </w:pPr>
            <w:r>
              <w:t xml:space="preserve">Browser or native authorization-code client</w:t>
            </w:r>
          </w:p>
        </w:tc>
        <w:tc>
          <w:tcPr/>
          <w:p>
            <w:pPr>
              <w:pStyle w:val="Compact"/>
              <w:jc w:val="left"/>
            </w:pPr>
            <w:r>
              <w:t xml:space="preserve">Use PKCE and documented redirect protections. Native apps should authorize through the system browser. Never embed a confidential client secret in browser code or a mobile binary. See</w:t>
            </w:r>
            <w:r>
              <w:t xml:space="preserve"> </w:t>
            </w:r>
            <w:hyperlink r:id="rId59">
              <w:r>
                <w:rPr>
                  <w:rStyle w:val="Hyperlink"/>
                </w:rPr>
                <w:t xml:space="preserve">OAuth security guidance</w:t>
              </w:r>
            </w:hyperlink>
            <w:r>
              <w:t xml:space="preserve"> </w:t>
            </w:r>
            <w:r>
              <w:t xml:space="preserve">and</w:t>
            </w:r>
            <w:r>
              <w:t xml:space="preserve"> </w:t>
            </w:r>
            <w:hyperlink r:id="rId60">
              <w:r>
                <w:rPr>
                  <w:rStyle w:val="Hyperlink"/>
                </w:rPr>
                <w:t xml:space="preserve">native-app guidance</w:t>
              </w:r>
            </w:hyperlink>
            <w:r>
              <w:t xml:space="preserve">.</w:t>
            </w:r>
          </w:p>
        </w:tc>
      </w:tr>
      <w:tr>
        <w:trPr>
          <w:cantSplit/>
        </w:trPr>
        <w:tc>
          <w:tcPr/>
          <w:p>
            <w:pPr>
              <w:pStyle w:val="Compact"/>
              <w:jc w:val="left"/>
            </w:pPr>
            <w:r>
              <w:t xml:space="preserve">Self-hosted deployment must accept external JWTs directly</w:t>
            </w:r>
          </w:p>
        </w:tc>
        <w:tc>
          <w:tcPr/>
          <w:p>
            <w:pPr>
              <w:pStyle w:val="Compact"/>
              <w:jc w:val="left"/>
            </w:pPr>
            <w:r>
              <w:t xml:space="preserve">Evaluate</w:t>
            </w:r>
            <w:r>
              <w:t xml:space="preserve"> </w:t>
            </w:r>
            <w:hyperlink r:id="rId61">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jc w:val="left"/>
            </w:pPr>
            <w:r>
              <w:t xml:space="preserve">Third-party app needs a SMART launch</w:t>
            </w:r>
          </w:p>
        </w:tc>
        <w:tc>
          <w:tcPr/>
          <w:p>
            <w:pPr>
              <w:pStyle w:val="Compact"/>
              <w:jc w:val="left"/>
            </w:pPr>
            <w:r>
              <w:t xml:space="preserve">Use the</w:t>
            </w:r>
            <w:r>
              <w:t xml:space="preserve"> </w:t>
            </w:r>
            <w:hyperlink r:id="rId62">
              <w:r>
                <w:rPr>
                  <w:rStyle w:val="Hyperlink"/>
                </w:rPr>
                <w:t xml:space="preserve">SMART on FHIR guidance</w:t>
              </w:r>
            </w:hyperlink>
            <w:r>
              <w:t xml:space="preserve">; distinguish it from your first-party login.</w:t>
            </w:r>
          </w:p>
        </w:tc>
      </w:tr>
      <w:tr>
        <w:trPr>
          <w:cantSplit/>
        </w:trPr>
        <w:tc>
          <w:tcPr/>
          <w:p>
            <w:pPr>
              <w:pStyle w:val="Compact"/>
              <w:jc w:val="left"/>
            </w:pPr>
            <w:r>
              <w:t xml:space="preserve">Activation precedes account creation</w:t>
            </w:r>
          </w:p>
        </w:tc>
        <w:tc>
          <w:tcPr/>
          <w:p>
            <w:pPr>
              <w:pStyle w:val="Compact"/>
              <w:jc w:val="left"/>
            </w:pPr>
            <w:r>
              <w:t xml:space="preserve">Follow the</w:t>
            </w:r>
            <w:r>
              <w:t xml:space="preserve"> </w:t>
            </w:r>
            <w:hyperlink r:id="rId63">
              <w:r>
                <w:rPr>
                  <w:rStyle w:val="Hyperlink"/>
                </w:rPr>
                <w:t xml:space="preserve">mobile activation guidance</w:t>
              </w:r>
            </w:hyperlink>
            <w:r>
              <w:t xml:space="preserve">, keeping activation narrowly scoped and separate from normal sessions.</w:t>
            </w:r>
          </w:p>
        </w:tc>
      </w:tr>
    </w:tbl>
    <w:bookmarkEnd w:id="64"/>
    <w:bookmarkEnd w:id="65"/>
    <w:bookmarkStart w:id="66"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66"/>
    <w:bookmarkEnd w:id="67"/>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3" Target="/docs/auth#mobile-activation-before-account-creation" TargetMode="External" /><Relationship Type="http://schemas.openxmlformats.org/officeDocument/2006/relationships/hyperlink" Id="rId48" Target="/docs/auth/client-credentials" TargetMode="External" /><Relationship Type="http://schemas.openxmlformats.org/officeDocument/2006/relationships/hyperlink" Id="rId61"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57" Target="/docs/auth/logout" TargetMode="External" /><Relationship Type="http://schemas.openxmlformats.org/officeDocument/2006/relationships/hyperlink" Id="rId33" Target="/docs/auth/medplum-as-idp" TargetMode="External" /><Relationship Type="http://schemas.openxmlformats.org/officeDocument/2006/relationships/hyperlink" Id="rId55" Target="/docs/auth/mfa" TargetMode="External" /><Relationship Type="http://schemas.openxmlformats.org/officeDocument/2006/relationships/hyperlink" Id="rId49" Target="/docs/auth/on-behalf-of" TargetMode="External" /><Relationship Type="http://schemas.openxmlformats.org/officeDocument/2006/relationships/hyperlink" Id="rId56" Target="/docs/auth/session-management" TargetMode="External" /><Relationship Type="http://schemas.openxmlformats.org/officeDocument/2006/relationships/hyperlink" Id="rId44"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2"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3"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0" Target="https://www.rfc-editor.org/rfc/rfc8252.html#section-8.1" TargetMode="External" /><Relationship Type="http://schemas.openxmlformats.org/officeDocument/2006/relationships/hyperlink" Id="rId59"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3" Target="/docs/auth#mobile-activation-before-account-creation" TargetMode="External" /><Relationship Type="http://schemas.openxmlformats.org/officeDocument/2006/relationships/hyperlink" Id="rId48" Target="/docs/auth/client-credentials" TargetMode="External" /><Relationship Type="http://schemas.openxmlformats.org/officeDocument/2006/relationships/hyperlink" Id="rId61"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57" Target="/docs/auth/logout" TargetMode="External" /><Relationship Type="http://schemas.openxmlformats.org/officeDocument/2006/relationships/hyperlink" Id="rId33" Target="/docs/auth/medplum-as-idp" TargetMode="External" /><Relationship Type="http://schemas.openxmlformats.org/officeDocument/2006/relationships/hyperlink" Id="rId55" Target="/docs/auth/mfa" TargetMode="External" /><Relationship Type="http://schemas.openxmlformats.org/officeDocument/2006/relationships/hyperlink" Id="rId49" Target="/docs/auth/on-behalf-of" TargetMode="External" /><Relationship Type="http://schemas.openxmlformats.org/officeDocument/2006/relationships/hyperlink" Id="rId56" Target="/docs/auth/session-management" TargetMode="External" /><Relationship Type="http://schemas.openxmlformats.org/officeDocument/2006/relationships/hyperlink" Id="rId44"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2"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3"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0" Target="https://www.rfc-editor.org/rfc/rfc8252.html#section-8.1" TargetMode="External" /><Relationship Type="http://schemas.openxmlformats.org/officeDocument/2006/relationships/hyperlink" Id="rId59"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