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21" name="Picture"/>
            <a:graphic>
              <a:graphicData uri="http://schemas.openxmlformats.org/drawingml/2006/picture">
                <pic:pic>
                  <pic:nvPicPr>
                    <pic:cNvPr descr="medplum-wordmark-grap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t xml:space="preserve">Use this guide to design how patients, caregivers, and staff complete intake and registration. Work through identity matching, forms, prefill, data extraction, coverage, consent, and post-submission actions to define the information you collect and what happens when intake is complete.</w:t>
      </w:r>
    </w:p>
    <w:p>
      <w:pPr>
        <w:pStyle w:val="BodyText"/>
      </w:pPr>
      <w:r>
        <w:rPr>
          <w:iCs/>
          <w:i/>
        </w:rPr>
        <w:t xml:space="preserve">Companion to the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Intake &amp; Registration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docs.</w:t>
      </w:r>
    </w:p>
    <w:p>
      <w:r>
        <w:pict>
          <v:rect style="width:0;height:1.5pt" o:hralign="center" o:hrstd="t" o:hr="t"/>
        </w:pict>
      </w:r>
    </w:p>
    <w:bookmarkStart w:id="24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Cs/>
          <w:b/>
        </w:rPr>
        <w:t xml:space="preserve">1.1 Who completes intake, and in what setting?</w:t>
      </w:r>
    </w:p>
    <w:p>
      <w:pPr>
        <w:numPr>
          <w:ilvl w:val="0"/>
          <w:numId w:val="1001"/>
        </w:numPr>
        <w:pStyle w:val="Compact"/>
      </w:pPr>
      <w:r>
        <w:t xml:space="preserve">Patient self-service (portal, mobile, kiosk)</w:t>
      </w:r>
    </w:p>
    <w:p>
      <w:pPr>
        <w:numPr>
          <w:ilvl w:val="0"/>
          <w:numId w:val="1001"/>
        </w:numPr>
        <w:pStyle w:val="Compact"/>
      </w:pPr>
      <w:r>
        <w:t xml:space="preserve">Staff-assisted (registration desk, rooming, phone, paper-to-digital)</w:t>
      </w:r>
    </w:p>
    <w:p>
      <w:pPr>
        <w:numPr>
          <w:ilvl w:val="0"/>
          <w:numId w:val="1001"/>
        </w:numPr>
        <w:pStyle w:val="Compact"/>
      </w:pPr>
      <w:r>
        <w:t xml:space="preserve">Mixed (patient starts online, staff verifies in person)</w:t>
      </w:r>
    </w:p>
    <w:p>
      <w:pPr>
        <w:pStyle w:val="FirstParagraph"/>
      </w:pPr>
      <w:r>
        <w:rPr>
          <w:iCs/>
          <w:i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Cs/>
          <w:b/>
        </w:rPr>
        <w:t xml:space="preserve">1.2 When does intake happen relative to identity and scheduling?</w:t>
      </w:r>
    </w:p>
    <w:p>
      <w:pPr>
        <w:numPr>
          <w:ilvl w:val="0"/>
          <w:numId w:val="1002"/>
        </w:numPr>
        <w:pStyle w:val="Compact"/>
      </w:pPr>
      <w:r>
        <w:t xml:space="preserve">Before the patient record exists (greenfield / new patient signup)</w:t>
      </w:r>
    </w:p>
    <w:p>
      <w:pPr>
        <w:numPr>
          <w:ilvl w:val="0"/>
          <w:numId w:val="1002"/>
        </w:numPr>
        <w:pStyle w:val="Compact"/>
      </w:pPr>
      <w:r>
        <w:t xml:space="preserve">After scheduling, pre-visit (patient exists, no visit yet)</w:t>
      </w:r>
    </w:p>
    <w:p>
      <w:pPr>
        <w:numPr>
          <w:ilvl w:val="0"/>
          <w:numId w:val="1002"/>
        </w:numPr>
        <w:pStyle w:val="Compact"/>
      </w:pPr>
      <w:r>
        <w:t xml:space="preserve">At check-in or during the visit</w:t>
      </w:r>
    </w:p>
    <w:p>
      <w:pPr>
        <w:numPr>
          <w:ilvl w:val="0"/>
          <w:numId w:val="1002"/>
        </w:numPr>
        <w:pStyle w:val="Compact"/>
      </w:pPr>
      <w:r>
        <w:t xml:space="preserve">Episodic updates only (existing patient, not tied to a visit)</w:t>
      </w:r>
    </w:p>
    <w:p>
      <w:pPr>
        <w:pStyle w:val="FirstParagraph"/>
      </w:pPr>
      <w:r>
        <w:rPr>
          <w:iCs/>
          <w:i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Cs/>
          <w:b/>
        </w:rPr>
        <w:t xml:space="preserve">1.3 How are returning patients and duplicates handled?</w:t>
      </w:r>
    </w:p>
    <w:p>
      <w:pPr>
        <w:numPr>
          <w:ilvl w:val="0"/>
          <w:numId w:val="1003"/>
        </w:numPr>
        <w:pStyle w:val="Compact"/>
      </w:pPr>
      <w:r>
        <w:t xml:space="preserve">Always create a new patient record on intake (rare; only if you have a separate dedup pipeline downstream)</w:t>
      </w:r>
    </w:p>
    <w:p>
      <w:pPr>
        <w:numPr>
          <w:ilvl w:val="0"/>
          <w:numId w:val="1003"/>
        </w:numPr>
        <w:pStyle w:val="Compact"/>
      </w:pPr>
      <w:r>
        <w:t xml:space="preserve">Look up by identifier (e.g. MRN, email, phone) and update if found</w:t>
      </w:r>
    </w:p>
    <w:p>
      <w:pPr>
        <w:numPr>
          <w:ilvl w:val="0"/>
          <w:numId w:val="1003"/>
        </w:numPr>
        <w:pStyle w:val="Compact"/>
      </w:pPr>
      <w:r>
        <w:t xml:space="preserve">Run a demographic candidate search and confirm with staff before merge</w:t>
      </w:r>
    </w:p>
    <w:p>
      <w:pPr>
        <w:numPr>
          <w:ilvl w:val="0"/>
          <w:numId w:val="1003"/>
        </w:numPr>
        <w:pStyle w:val="Compact"/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Cs/>
          <w:i/>
        </w:rPr>
        <w:t xml:space="preserve">Why: drives 3.1 and must align with your org-wide dedup policy.</w:t>
      </w:r>
    </w:p>
    <w:p>
      <w:pPr>
        <w:pStyle w:val="BodyText"/>
      </w:pPr>
      <w:r>
        <w:rPr>
          <w:bCs/>
          <w:b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Cs/>
          <w:i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Cs/>
          <w:b/>
        </w:rPr>
        <w:t xml:space="preserve">1.5 What other systems must intake feed or read from?</w:t>
      </w:r>
    </w:p>
    <w:p>
      <w:pPr>
        <w:numPr>
          <w:ilvl w:val="0"/>
          <w:numId w:val="1004"/>
        </w:numPr>
        <w:pStyle w:val="Compact"/>
      </w:pPr>
      <w:r>
        <w:t xml:space="preserve">Eligibility / insurance verification (e.g. Stedi, clearinghouse 270/271)</w:t>
      </w:r>
    </w:p>
    <w:p>
      <w:pPr>
        <w:numPr>
          <w:ilvl w:val="0"/>
          <w:numId w:val="1004"/>
        </w:numPr>
        <w:pStyle w:val="Compact"/>
      </w:pPr>
      <w:r>
        <w:t xml:space="preserve">Practice management or legacy EHR (write-back of demographics or coverage)</w:t>
      </w:r>
    </w:p>
    <w:p>
      <w:pPr>
        <w:numPr>
          <w:ilvl w:val="0"/>
          <w:numId w:val="1004"/>
        </w:numPr>
        <w:pStyle w:val="Compact"/>
      </w:pPr>
      <w:r>
        <w:t xml:space="preserve">Prefill sources (Patient Access API, Payer-to-Payer API, partner EHR, HIE/TEFCA) — see 3.3</w:t>
      </w:r>
    </w:p>
    <w:p>
      <w:pPr>
        <w:numPr>
          <w:ilvl w:val="0"/>
          <w:numId w:val="1004"/>
        </w:numPr>
        <w:pStyle w:val="Compact"/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Cs/>
          <w:i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Cs/>
          <w:i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Cs/>
          <w:b/>
        </w:rPr>
        <w:t xml:space="preserve">Deep dive</w:t>
      </w:r>
      <w:r>
        <w:t xml:space="preserve"> </w:t>
      </w:r>
      <w:r>
        <w:rPr>
          <w:iCs/>
          <w:i/>
        </w:rPr>
        <w:t xml:space="preserve">column points to the Section 3 subsection that covers each feature.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Cs/>
          <w:i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2684"/>
        <w:gridCol w:w="1860"/>
        <w:gridCol w:w="481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2" w:name="capture"/>
    <w:p>
      <w:pPr>
        <w:pStyle w:val="Heading3"/>
      </w:pPr>
      <w:r>
        <w:t xml:space="preserve">Capture</w:t>
      </w:r>
    </w:p>
    <w:bookmarkStart w:id="27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26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5"/>
        </w:numPr>
        <w:pStyle w:val="Compact"/>
      </w:pPr>
      <w:r>
        <w:t xml:space="preserve">Does the patient record exist before intake is filled out, after, or sometimes either?</w:t>
      </w:r>
    </w:p>
    <w:p>
      <w:pPr>
        <w:numPr>
          <w:ilvl w:val="0"/>
          <w:numId w:val="1005"/>
        </w:numPr>
        <w:pStyle w:val="Compact"/>
      </w:pPr>
      <w:r>
        <w:t xml:space="preserve">Do you run an identifier lookup, a demographic match search, both, or neither before creating a new patient record?</w:t>
      </w:r>
    </w:p>
    <w:p>
      <w:pPr>
        <w:numPr>
          <w:ilvl w:val="0"/>
          <w:numId w:val="1005"/>
        </w:numPr>
        <w:pStyle w:val="Compact"/>
      </w:pPr>
      <w:r>
        <w:t xml:space="preserve">When a match is ambiguous, does the intake response stay unlinked until a human confirms, or does the system pick the best candidate automatically?</w:t>
      </w:r>
    </w:p>
    <w:p>
      <w:pPr>
        <w:numPr>
          <w:ilvl w:val="0"/>
          <w:numId w:val="1005"/>
        </w:numPr>
        <w:pStyle w:val="Compact"/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165"/>
        <w:gridCol w:w="5195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6"/>
        </w:numPr>
        <w:pStyle w:val="Compact"/>
      </w:pPr>
      <w:r>
        <w:t xml:space="preserve">One intake form for everyone, or different forms by visit type, program, or language?</w:t>
      </w:r>
    </w:p>
    <w:p>
      <w:pPr>
        <w:numPr>
          <w:ilvl w:val="0"/>
          <w:numId w:val="1006"/>
        </w:numPr>
        <w:pStyle w:val="Compact"/>
      </w:pPr>
      <w:r>
        <w:t xml:space="preserve">Same form for patient self-service and staff-assisted, or separate forms tuned to each audience?</w:t>
      </w:r>
    </w:p>
    <w:p>
      <w:pPr>
        <w:numPr>
          <w:ilvl w:val="0"/>
          <w:numId w:val="1006"/>
        </w:numPr>
        <w:pStyle w:val="Compact"/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3"/>
        <w:gridCol w:w="4857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</w:t>
            </w:r>
            <w:r>
              <w:t xml:space="preserve">completed-by</w:t>
            </w:r>
            <w:r>
              <w:t xml:space="preserve">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</w:t>
      </w:r>
      <w:r>
        <w:t xml:space="preserve">patient said X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source said X</w:t>
      </w:r>
      <w:r>
        <w:t xml:space="preserve">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7"/>
        </w:numPr>
        <w:pStyle w:val="Compact"/>
      </w:pPr>
      <w:r>
        <w:t xml:space="preserve">Does the form start blank, prefilled from data you already hold (returning patient, prior visit), or prefilled from an external source?</w:t>
      </w:r>
    </w:p>
    <w:p>
      <w:pPr>
        <w:numPr>
          <w:ilvl w:val="0"/>
          <w:numId w:val="1007"/>
        </w:numPr>
        <w:pStyle w:val="Compact"/>
      </w:pPr>
      <w:r>
        <w:t xml:space="preserve">Which external sources are in scope (insurance card OCR, Patient Access API, Payer-to-Payer API, partner EHR, TEFCA/QHIN, state or regional HIE)?</w:t>
      </w:r>
    </w:p>
    <w:p>
      <w:pPr>
        <w:numPr>
          <w:ilvl w:val="0"/>
          <w:numId w:val="1007"/>
        </w:numPr>
        <w:pStyle w:val="Compact"/>
      </w:pPr>
      <w:r>
        <w:t xml:space="preserve">When prefilled data and patient input disagree, who wins — the source, the patient, or staff?</w:t>
      </w:r>
    </w:p>
    <w:p>
      <w:pPr>
        <w:numPr>
          <w:ilvl w:val="0"/>
          <w:numId w:val="1007"/>
        </w:numPr>
        <w:pStyle w:val="Compact"/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494"/>
        <w:gridCol w:w="486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</w:t>
            </w:r>
            <w:r>
              <w:t xml:space="preserve">show and confirm</w:t>
            </w:r>
            <w:r>
              <w:t xml:space="preserve">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8"/>
        </w:numPr>
        <w:pStyle w:val="Compact"/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numPr>
          <w:ilvl w:val="0"/>
          <w:numId w:val="1008"/>
        </w:numPr>
        <w:pStyle w:val="Compact"/>
      </w:pPr>
      <w:r>
        <w:t xml:space="preserve">Does extraction need to call external APIs (eligibility, address validation, geocoding) during processing?</w:t>
      </w:r>
    </w:p>
    <w:p>
      <w:pPr>
        <w:numPr>
          <w:ilvl w:val="0"/>
          <w:numId w:val="1008"/>
        </w:numPr>
        <w:pStyle w:val="Compact"/>
      </w:pPr>
      <w:r>
        <w:t xml:space="preserve">When intake is resubmitted (annual update, correction), what should happen to existing allergies, medications, conditions, and coverage records?</w:t>
      </w:r>
    </w:p>
    <w:p>
      <w:pPr>
        <w:numPr>
          <w:ilvl w:val="0"/>
          <w:numId w:val="1008"/>
        </w:numPr>
        <w:pStyle w:val="Compact"/>
      </w:pPr>
      <w:r>
        <w:t xml:space="preserve">Will non-engineers update the form, and how often?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8"/>
        <w:gridCol w:w="485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coverage-consent"/>
    <w:p>
      <w:pPr>
        <w:pStyle w:val="Heading3"/>
      </w:pPr>
      <w:r>
        <w:t xml:space="preserve">Coverage &amp; Consent</w:t>
      </w:r>
    </w:p>
    <w:bookmarkStart w:id="34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Cs/>
          <w:b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, the subscriber is</w:t>
      </w:r>
      <w:r>
        <w:t xml:space="preserve"> </w:t>
      </w:r>
      <w:r>
        <w:t xml:space="preserve">“</w:t>
      </w:r>
      <w:r>
        <w:t xml:space="preserve">parent</w:t>
      </w:r>
      <w:r>
        <w:t xml:space="preserve">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9"/>
        </w:numPr>
        <w:pStyle w:val="Compact"/>
      </w:pPr>
      <w:r>
        <w:t xml:space="preserve">Are multiple coverages (primary / secondary) captured at intake, or only primary?</w:t>
      </w:r>
    </w:p>
    <w:p>
      <w:pPr>
        <w:numPr>
          <w:ilvl w:val="0"/>
          <w:numId w:val="1009"/>
        </w:numPr>
        <w:pStyle w:val="Compact"/>
      </w:pPr>
      <w:r>
        <w:t xml:space="preserve">Is the subscriber sometimes someone other than the patient (e.g. a parent’s plan covering a child)?</w:t>
      </w:r>
    </w:p>
    <w:p>
      <w:pPr>
        <w:numPr>
          <w:ilvl w:val="0"/>
          <w:numId w:val="1009"/>
        </w:numPr>
        <w:pStyle w:val="Compact"/>
      </w:pPr>
      <w:r>
        <w:t xml:space="preserve">Do you capture insurance card images, and where do they live?</w:t>
      </w:r>
    </w:p>
    <w:p>
      <w:pPr>
        <w:numPr>
          <w:ilvl w:val="0"/>
          <w:numId w:val="1009"/>
        </w:numPr>
        <w:pStyle w:val="Compact"/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784"/>
        <w:gridCol w:w="557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Cs/>
                <w:b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</w:t>
            </w:r>
            <w:r>
              <w:t xml:space="preserve">create if missing</w:t>
            </w:r>
            <w:r>
              <w:t xml:space="preserve">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0"/>
        </w:numPr>
        <w:pStyle w:val="Compact"/>
      </w:pPr>
      <w:r>
        <w:t xml:space="preserve">Which consent types are required at first intake vs deferred (HIPAA, treatment, financial, telehealth, research)?</w:t>
      </w:r>
    </w:p>
    <w:p>
      <w:pPr>
        <w:numPr>
          <w:ilvl w:val="0"/>
          <w:numId w:val="1010"/>
        </w:numPr>
        <w:pStyle w:val="Compact"/>
      </w:pPr>
      <w:r>
        <w:t xml:space="preserve">Are some consents conditional on patient attributes (minor, state of residence, payer)?</w:t>
      </w:r>
    </w:p>
    <w:p>
      <w:pPr>
        <w:numPr>
          <w:ilvl w:val="0"/>
          <w:numId w:val="1010"/>
        </w:numPr>
        <w:pStyle w:val="Compact"/>
      </w:pPr>
      <w:r>
        <w:t xml:space="preserve">What triggers re-consent (annual update, policy change, new clinic site)?</w:t>
      </w:r>
    </w:p>
    <w:p>
      <w:pPr>
        <w:numPr>
          <w:ilvl w:val="0"/>
          <w:numId w:val="1010"/>
        </w:numPr>
        <w:pStyle w:val="Compact"/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3" w:name="after-submission"/>
    <w:p>
      <w:pPr>
        <w:pStyle w:val="Heading3"/>
      </w:pPr>
      <w:r>
        <w:t xml:space="preserve">After Submission</w:t>
      </w:r>
    </w:p>
    <w:bookmarkStart w:id="39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Cs/>
          <w:i/>
        </w:rPr>
        <w:t xml:space="preserve">Note: This section is decision-focused. For the full pattern catalog, see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1"/>
        </w:numPr>
        <w:pStyle w:val="Compact"/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numPr>
          <w:ilvl w:val="0"/>
          <w:numId w:val="1011"/>
        </w:numPr>
        <w:pStyle w:val="Compact"/>
      </w:pPr>
      <w:r>
        <w:t xml:space="preserve">Should intake processing re-run when the response is updated, or only on first submit?</w:t>
      </w:r>
    </w:p>
    <w:p>
      <w:pPr>
        <w:numPr>
          <w:ilvl w:val="0"/>
          <w:numId w:val="1011"/>
        </w:numPr>
        <w:pStyle w:val="Compact"/>
      </w:pPr>
      <w:r>
        <w:t xml:space="preserve">When does eligibility verification run – during form completion, on submit, or async after intake is committed?</w:t>
      </w:r>
    </w:p>
    <w:p>
      <w:pPr>
        <w:numPr>
          <w:ilvl w:val="0"/>
          <w:numId w:val="1011"/>
        </w:numPr>
        <w:pStyle w:val="Compact"/>
      </w:pPr>
      <w:r>
        <w:t xml:space="preserve">Which post-intake actions are required to mark intake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vs nice-to-have side effects?</w:t>
      </w:r>
    </w:p>
    <w:p>
      <w:pPr>
        <w:numPr>
          <w:ilvl w:val="0"/>
          <w:numId w:val="1011"/>
        </w:numPr>
        <w:pStyle w:val="Compact"/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282"/>
        <w:gridCol w:w="5078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Cs/>
          <w:i/>
        </w:rPr>
        <w:t xml:space="preserve">Note: The template-driven orchestration pattern is documented in detail under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 → PlanDefinition Orchestration</w:t>
        </w:r>
      </w:hyperlink>
      <w:r>
        <w:rPr>
          <w:iCs/>
          <w:i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2"/>
        </w:numPr>
        <w:pStyle w:val="Compact"/>
      </w:pPr>
      <w:r>
        <w:t xml:space="preserve">Is intake completed by one person in one session, or split across roles (patient fills demographics, MA captures vitals, provider reviews)?</w:t>
      </w:r>
    </w:p>
    <w:p>
      <w:pPr>
        <w:numPr>
          <w:ilvl w:val="0"/>
          <w:numId w:val="1012"/>
        </w:numPr>
        <w:pStyle w:val="Compact"/>
      </w:pPr>
      <w:r>
        <w:t xml:space="preserve">Does intake need to appear as tasks in the provider’s visit chart?</w:t>
      </w:r>
    </w:p>
    <w:p>
      <w:pPr>
        <w:numPr>
          <w:ilvl w:val="0"/>
          <w:numId w:val="1012"/>
        </w:numPr>
        <w:pStyle w:val="Compact"/>
      </w:pPr>
      <w:r>
        <w:t xml:space="preserve">Are some intake steps non-form work (e.g. lab orders, imaging) that should be modeled as orders rather than questionnaires?</w:t>
      </w:r>
    </w:p>
    <w:p>
      <w:pPr>
        <w:numPr>
          <w:ilvl w:val="0"/>
          <w:numId w:val="1012"/>
        </w:numPr>
        <w:pStyle w:val="Compact"/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068"/>
        <w:gridCol w:w="529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Cs/>
          <w:i/>
        </w:rPr>
        <w:t xml:space="preserve">Scheduling integration (appointments generated from intake answers, or intake gated on a scheduled visit) is covered in the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Scheduling Decision Guide</w:t>
        </w:r>
      </w:hyperlink>
      <w:r>
        <w:rPr>
          <w:iCs/>
          <w:i/>
        </w:rPr>
        <w:t xml:space="preserve">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41"/>
    <w:bookmarkStart w:id="42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</w:t>
      </w:r>
      <w:r>
        <w:t xml:space="preserve">intake is done</w:t>
      </w:r>
      <w:r>
        <w:t xml:space="preserve">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3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numPr>
          <w:ilvl w:val="0"/>
          <w:numId w:val="1013"/>
        </w:numPr>
        <w:pStyle w:val="Compact"/>
      </w:pPr>
      <w:r>
        <w:t xml:space="preserve">Which downstream workflows are gated on intake completion (scheduling, clinical, billing)?</w:t>
      </w:r>
    </w:p>
    <w:p>
      <w:pPr>
        <w:numPr>
          <w:ilvl w:val="0"/>
          <w:numId w:val="1013"/>
        </w:numPr>
        <w:pStyle w:val="Compact"/>
      </w:pPr>
      <w:r>
        <w:t xml:space="preserve">For incomplete intake (patient bailed mid-form, required field missing), how is that surfaced and worked?</w:t>
      </w:r>
    </w:p>
    <w:p>
      <w:pPr>
        <w:numPr>
          <w:ilvl w:val="0"/>
          <w:numId w:val="1013"/>
        </w:numPr>
        <w:pStyle w:val="Compact"/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42"/>
    <w:bookmarkEnd w:id="43"/>
    <w:bookmarkEnd w:id="44"/>
    <w:bookmarkEnd w:id="45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