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943600" cy="1289649"/>
            <wp:effectExtent b="0" l="0" r="0" t="0"/>
            <wp:docPr descr="Medplum" title="" id="10" name="Picture"/>
            <a:graphic>
              <a:graphicData uri="http://schemas.openxmlformats.org/drawingml/2006/picture">
                <pic:pic>
                  <pic:nvPicPr>
                    <pic:cNvPr descr="medplum-wordmark-grape.png" id="11" name="Picture"/>
                    <pic:cNvPicPr>
                      <a:picLocks noChangeArrowheads="1" noChangeAspect="1"/>
                    </pic:cNvPicPr>
                  </pic:nvPicPr>
                  <pic:blipFill>
                    <a:blip r:embed="rId9"/>
                    <a:stretch>
                      <a:fillRect/>
                    </a:stretch>
                  </pic:blipFill>
                  <pic:spPr bwMode="auto">
                    <a:xfrm>
                      <a:off x="0" y="0"/>
                      <a:ext cx="5943600" cy="1289649"/>
                    </a:xfrm>
                    <a:prstGeom prst="rect">
                      <a:avLst/>
                    </a:prstGeom>
                    <a:noFill/>
                    <a:ln w="9525">
                      <a:noFill/>
                      <a:headEnd/>
                      <a:tailEnd/>
                    </a:ln>
                  </pic:spPr>
                </pic:pic>
              </a:graphicData>
            </a:graphic>
          </wp:inline>
        </w:drawing>
      </w:r>
    </w:p>
    <w:bookmarkStart w:id="99" w:name="rcm-billing-decision-guide"/>
    <w:p>
      <w:pPr>
        <w:pStyle w:val="Heading1"/>
      </w:pPr>
      <w:r>
        <w:t xml:space="preserve">RCM &amp; Billing Decision Guide</w:t>
      </w:r>
    </w:p>
    <w:p>
      <w:pPr>
        <w:pStyle w:val="FirstParagraph"/>
      </w:pPr>
      <w:r>
        <w:t xml:space="preserve">Use this guide to decide which parts of the revenue cycle your application owns and which it delegates to billing partners. Work through coverage, charge capture, claims, remittance, and patient responsibility to define the data model, integrations, and operational handoffs for your reimbursement model.</w:t>
      </w:r>
    </w:p>
    <w:p>
      <w:pPr>
        <w:pStyle w:val="BodyText"/>
      </w:pPr>
      <w:r>
        <w:rPr>
          <w:i/>
          <w:iCs/>
        </w:rPr>
        <w:t xml:space="preserve">Companion to the</w:t>
      </w:r>
      <w:r>
        <w:rPr>
          <w:i/>
          <w:iCs/>
        </w:rPr>
        <w:t xml:space="preserve"> </w:t>
      </w:r>
      <w:hyperlink r:id="rId12">
        <w:r>
          <w:rPr>
            <w:rStyle w:val="Hyperlink"/>
            <w:i/>
            <w:iCs/>
          </w:rPr>
          <w:t xml:space="preserve">Billing</w:t>
        </w:r>
      </w:hyperlink>
      <w:r>
        <w:rPr>
          <w:i/>
          <w:iCs/>
        </w:rPr>
        <w:t xml:space="preserve"> </w:t>
      </w:r>
      <w:r>
        <w:rPr>
          <w:i/>
          <w:iCs/>
        </w:rPr>
        <w:t xml:space="preserve">docs.</w:t>
      </w:r>
    </w:p>
    <w:p>
      <w:pPr>
        <w:pStyle w:val="BodyText"/>
      </w:pPr>
      <w:r>
        <w:t xml:space="preserve">Start with reimbursement and ownership, then follow the relevant financial workflows:</w:t>
      </w:r>
    </w:p>
    <w:p>
      <w:pPr>
        <w:pStyle w:val="Compact"/>
        <w:numPr>
          <w:ilvl w:val="0"/>
          <w:numId w:val="1001"/>
        </w:numPr>
      </w:pPr>
      <w:r>
        <w:rPr>
          <w:b/>
          <w:bCs/>
        </w:rPr>
        <w:t xml:space="preserve">Choose your</w:t>
      </w:r>
      <w:r>
        <w:rPr>
          <w:b/>
          <w:bCs/>
        </w:rPr>
        <w:t xml:space="preserve"> </w:t>
      </w:r>
      <w:hyperlink w:anchor="what-is-your-reimbursement-model">
        <w:r>
          <w:rPr>
            <w:rStyle w:val="Hyperlink"/>
            <w:b/>
            <w:bCs/>
          </w:rPr>
          <w:t xml:space="preserve">reimbursement model</w:t>
        </w:r>
      </w:hyperlink>
      <w:r>
        <w:rPr>
          <w:b/>
          <w:bCs/>
        </w:rPr>
        <w:t xml:space="preserve"> </w:t>
      </w:r>
      <w:r>
        <w:rPr>
          <w:b/>
          <w:bCs/>
        </w:rPr>
        <w:t xml:space="preserve">and</w:t>
      </w:r>
      <w:r>
        <w:rPr>
          <w:b/>
          <w:bCs/>
        </w:rPr>
        <w:t xml:space="preserve"> </w:t>
      </w:r>
      <w:hyperlink w:anchor="X84010e9cce6a158202632be05194bacb308ba01">
        <w:r>
          <w:rPr>
            <w:rStyle w:val="Hyperlink"/>
            <w:b/>
            <w:bCs/>
          </w:rPr>
          <w:t xml:space="preserve">workflow ownership</w:t>
        </w:r>
      </w:hyperlink>
      <w:r>
        <w:rPr>
          <w:b/>
          <w:bCs/>
        </w:rPr>
        <w:t xml:space="preserve">.</w:t>
      </w:r>
      <w:r>
        <w:t xml:space="preserve"> </w:t>
      </w:r>
      <w:r>
        <w:t xml:space="preserve">Decide what your application owns and what a billing partner or existing system handles.</w:t>
      </w:r>
    </w:p>
    <w:p>
      <w:pPr>
        <w:pStyle w:val="Compact"/>
        <w:numPr>
          <w:ilvl w:val="0"/>
          <w:numId w:val="1001"/>
        </w:numPr>
      </w:pPr>
      <w:r>
        <w:rPr>
          <w:b/>
          <w:bCs/>
        </w:rPr>
        <w:t xml:space="preserve">Define</w:t>
      </w:r>
      <w:r>
        <w:rPr>
          <w:b/>
          <w:bCs/>
        </w:rPr>
        <w:t xml:space="preserve"> </w:t>
      </w:r>
      <w:hyperlink w:anchor="coverage-and-accounts">
        <w:r>
          <w:rPr>
            <w:rStyle w:val="Hyperlink"/>
            <w:b/>
            <w:bCs/>
          </w:rPr>
          <w:t xml:space="preserve">coverage and accounts</w:t>
        </w:r>
      </w:hyperlink>
      <w:r>
        <w:rPr>
          <w:b/>
          <w:bCs/>
        </w:rPr>
        <w:t xml:space="preserve"> </w:t>
      </w:r>
      <w:r>
        <w:rPr>
          <w:b/>
          <w:bCs/>
        </w:rPr>
        <w:t xml:space="preserve">and</w:t>
      </w:r>
      <w:r>
        <w:rPr>
          <w:b/>
          <w:bCs/>
        </w:rPr>
        <w:t xml:space="preserve"> </w:t>
      </w:r>
      <w:hyperlink w:anchor="checks-before-service">
        <w:r>
          <w:rPr>
            <w:rStyle w:val="Hyperlink"/>
            <w:b/>
            <w:bCs/>
          </w:rPr>
          <w:t xml:space="preserve">checks before service</w:t>
        </w:r>
      </w:hyperlink>
      <w:r>
        <w:rPr>
          <w:b/>
          <w:bCs/>
        </w:rPr>
        <w:t xml:space="preserve">.</w:t>
      </w:r>
      <w:r>
        <w:t xml:space="preserve"> </w:t>
      </w:r>
      <w:r>
        <w:t xml:space="preserve">Establish responsibilities for balances, eligibility, authorization, and estimates where applicable.</w:t>
      </w:r>
    </w:p>
    <w:p>
      <w:pPr>
        <w:pStyle w:val="Compact"/>
        <w:numPr>
          <w:ilvl w:val="0"/>
          <w:numId w:val="1001"/>
        </w:numPr>
      </w:pPr>
      <w:hyperlink w:anchor="charges-and-claims">
        <w:r>
          <w:rPr>
            <w:rStyle w:val="Hyperlink"/>
            <w:b/>
            <w:bCs/>
          </w:rPr>
          <w:t xml:space="preserve">Define charge capture and claim submission</w:t>
        </w:r>
      </w:hyperlink>
      <w:r>
        <w:rPr>
          <w:b/>
          <w:bCs/>
        </w:rPr>
        <w:t xml:space="preserve">.</w:t>
      </w:r>
      <w:r>
        <w:t xml:space="preserve"> </w:t>
      </w:r>
      <w:r>
        <w:t xml:space="preserve">Decide how services are coded and priced; include claims when billing payers or when a partner requires that submission format.</w:t>
      </w:r>
    </w:p>
    <w:p>
      <w:pPr>
        <w:pStyle w:val="Compact"/>
        <w:numPr>
          <w:ilvl w:val="0"/>
          <w:numId w:val="1001"/>
        </w:numPr>
      </w:pPr>
      <w:hyperlink w:anchor="payer-responses-and-accounts-receivable">
        <w:r>
          <w:rPr>
            <w:rStyle w:val="Hyperlink"/>
            <w:b/>
            <w:bCs/>
          </w:rPr>
          <w:t xml:space="preserve">Assign payer-response and accounts-receivable responsibilities</w:t>
        </w:r>
      </w:hyperlink>
      <w:r>
        <w:rPr>
          <w:b/>
          <w:bCs/>
        </w:rPr>
        <w:t xml:space="preserve">.</w:t>
      </w:r>
      <w:r>
        <w:t xml:space="preserve"> </w:t>
      </w:r>
      <w:r>
        <w:t xml:space="preserve">Define posting, denials, follow-up, and reporting, including the boundary with any partner that owns them.</w:t>
      </w:r>
    </w:p>
    <w:p>
      <w:pPr>
        <w:pStyle w:val="Compact"/>
        <w:numPr>
          <w:ilvl w:val="0"/>
          <w:numId w:val="1001"/>
        </w:numPr>
      </w:pPr>
      <w:hyperlink w:anchor="how-will-patients-be-billed">
        <w:r>
          <w:rPr>
            <w:rStyle w:val="Hyperlink"/>
            <w:b/>
            <w:bCs/>
          </w:rPr>
          <w:t xml:space="preserve">Define patient billing</w:t>
        </w:r>
      </w:hyperlink>
      <w:r>
        <w:t xml:space="preserve"> </w:t>
      </w:r>
      <w:r>
        <w:t xml:space="preserve">if patients owe balances or pay directly. Decide who collects payments and provides statements or superbills.</w:t>
      </w:r>
    </w:p>
    <w:p>
      <w:pPr>
        <w:pStyle w:val="Compact"/>
        <w:numPr>
          <w:ilvl w:val="0"/>
          <w:numId w:val="1001"/>
        </w:numPr>
      </w:pPr>
      <w:hyperlink w:anchor="how-will-value-based-contracts-work">
        <w:r>
          <w:rPr>
            <w:rStyle w:val="Hyperlink"/>
            <w:b/>
            <w:bCs/>
          </w:rPr>
          <w:t xml:space="preserve">Plan value-based contracts</w:t>
        </w:r>
      </w:hyperlink>
      <w:r>
        <w:t xml:space="preserve"> </w:t>
      </w:r>
      <w:r>
        <w:t xml:space="preserve">if you operate under capitation or risk-based arrangements.</w:t>
      </w:r>
    </w:p>
    <w:p>
      <w:pPr>
        <w:pStyle w:val="FirstParagraph"/>
      </w:pPr>
      <w:r>
        <w:t xml:space="preserve">Use the</w:t>
      </w:r>
      <w:r>
        <w:t xml:space="preserve"> </w:t>
      </w:r>
      <w:hyperlink w:anchor="before-you-start">
        <w:r>
          <w:rPr>
            <w:rStyle w:val="Hyperlink"/>
          </w:rPr>
          <w:t xml:space="preserve">questions below</w:t>
        </w:r>
      </w:hyperlink>
      <w:r>
        <w:t xml:space="preserve"> </w:t>
      </w:r>
      <w:r>
        <w:t xml:space="preserve">to establish your use case, then follow the relevant sections. Add requirements beyond these examples where needed.</w:t>
      </w:r>
    </w:p>
    <w:bookmarkStart w:id="13" w:name="section-1-use-case--participants"/>
    <w:bookmarkEnd w:id="13"/>
    <w:bookmarkStart w:id="30" w:name="before-you-start"/>
    <w:p>
      <w:pPr>
        <w:pStyle w:val="Heading2"/>
      </w:pPr>
      <w:r>
        <w:t xml:space="preserve">Before you start</w:t>
      </w:r>
    </w:p>
    <w:bookmarkStart w:id="14" w:name="q1-what-is-your-reimbursement-model"/>
    <w:bookmarkEnd w:id="14"/>
    <w:bookmarkStart w:id="16" w:name="what-is-your-reimbursement-model"/>
    <w:p>
      <w:pPr>
        <w:pStyle w:val="Heading3"/>
      </w:pPr>
      <w:r>
        <w:t xml:space="preserve">What is your reimbursement model?</w:t>
      </w:r>
    </w:p>
    <w:p>
      <w:pPr>
        <w:pStyle w:val="Compact"/>
        <w:numPr>
          <w:ilvl w:val="0"/>
          <w:numId w:val="1002"/>
        </w:numPr>
      </w:pPr>
      <w:r>
        <w:t xml:space="preserve">Insurance / claims-based – you bill payers and reconcile their responses</w:t>
      </w:r>
    </w:p>
    <w:p>
      <w:pPr>
        <w:pStyle w:val="Compact"/>
        <w:numPr>
          <w:ilvl w:val="0"/>
          <w:numId w:val="1002"/>
        </w:numPr>
      </w:pPr>
      <w:r>
        <w:t xml:space="preserve">Patient self-pay / cash – patients pay you directly; no payer claim</w:t>
      </w:r>
    </w:p>
    <w:p>
      <w:pPr>
        <w:pStyle w:val="Compact"/>
        <w:numPr>
          <w:ilvl w:val="0"/>
          <w:numId w:val="1002"/>
        </w:numPr>
      </w:pPr>
      <w:r>
        <w:t xml:space="preserve">Value-based / capitation – per-member-per-month or risk-based</w:t>
      </w:r>
    </w:p>
    <w:p>
      <w:pPr>
        <w:pStyle w:val="Compact"/>
        <w:numPr>
          <w:ilvl w:val="0"/>
          <w:numId w:val="1002"/>
        </w:numPr>
      </w:pPr>
      <w:r>
        <w:t xml:space="preserve">Some combination</w:t>
      </w:r>
    </w:p>
    <w:p>
      <w:pPr>
        <w:pStyle w:val="FirstParagraph"/>
      </w:pPr>
      <w:r>
        <w:rPr>
          <w:i/>
          <w:iCs/>
        </w:rPr>
        <w:t xml:space="preserve">Why: Claims-based workflows cover every applicable decision; direct self-pay uses charge capture and patient billing. Partner-managed self-pay may also require claim assembly as the partner’s submission format (</w:t>
      </w:r>
      <w:hyperlink w:anchor="how-will-patients-be-billed">
        <w:r>
          <w:rPr>
            <w:rStyle w:val="Hyperlink"/>
            <w:i/>
            <w:iCs/>
          </w:rPr>
          <w:t xml:space="preserve">Patient billing</w:t>
        </w:r>
      </w:hyperlink>
      <w:r>
        <w:rPr>
          <w:i/>
          <w:iCs/>
        </w:rPr>
        <w:t xml:space="preserve">). Value-based workflows start with the coverage and account model, then the value-based decision (</w:t>
      </w:r>
      <w:hyperlink w:anchor="how-will-value-based-contracts-work">
        <w:r>
          <w:rPr>
            <w:rStyle w:val="Hyperlink"/>
            <w:i/>
            <w:iCs/>
          </w:rPr>
          <w:t xml:space="preserve">Value-based contracts</w:t>
        </w:r>
      </w:hyperlink>
      <w:r>
        <w:rPr>
          <w:i/>
          <w:iCs/>
        </w:rPr>
        <w:t xml:space="preserve">).</w:t>
      </w:r>
    </w:p>
    <w:bookmarkStart w:id="15" w:name="X61933180baca59b1269912eb440785f768a8396"/>
    <w:bookmarkEnd w:id="15"/>
    <w:bookmarkEnd w:id="16"/>
    <w:bookmarkStart w:id="18" w:name="X84010e9cce6a158202632be05194bacb308ba01"/>
    <w:p>
      <w:pPr>
        <w:pStyle w:val="Heading3"/>
      </w:pPr>
      <w:r>
        <w:t xml:space="preserve">How much of the revenue cycle runs in Medplum versus delegated?</w:t>
      </w:r>
    </w:p>
    <w:p>
      <w:pPr>
        <w:pStyle w:val="Compact"/>
        <w:numPr>
          <w:ilvl w:val="0"/>
          <w:numId w:val="1003"/>
        </w:numPr>
      </w:pPr>
      <w:r>
        <w:rPr>
          <w:b/>
          <w:bCs/>
        </w:rPr>
        <w:t xml:space="preserve">Clearinghouse-direct</w:t>
      </w:r>
      <w:r>
        <w:t xml:space="preserve"> </w:t>
      </w:r>
      <w:r>
        <w:t xml:space="preserve">– Medplum runs the cycle; the clearinghouse is transport. You own scrubbing, denials, and remittance posting. The most complete documented path.</w:t>
      </w:r>
    </w:p>
    <w:p>
      <w:pPr>
        <w:pStyle w:val="Compact"/>
        <w:numPr>
          <w:ilvl w:val="0"/>
          <w:numId w:val="1003"/>
        </w:numPr>
      </w:pPr>
      <w:r>
        <w:rPr>
          <w:b/>
          <w:bCs/>
        </w:rPr>
        <w:t xml:space="preserve">RCM-automation partner</w:t>
      </w:r>
      <w:r>
        <w:t xml:space="preserve"> </w:t>
      </w:r>
      <w:r>
        <w:t xml:space="preserve">– you send encounter and charge data and delegate the back end; agree which scrubbing, payer routing, denials, resubmission, patient collections, and reporting workflows the partner owns. Define the submission interface and which billing tasks or status changes sync back into Medplum.</w:t>
      </w:r>
    </w:p>
    <w:p>
      <w:pPr>
        <w:pStyle w:val="Compact"/>
        <w:numPr>
          <w:ilvl w:val="0"/>
          <w:numId w:val="1003"/>
        </w:numPr>
      </w:pPr>
      <w:r>
        <w:rPr>
          <w:b/>
          <w:bCs/>
        </w:rPr>
        <w:t xml:space="preserve">Documents only (no electronic claims)</w:t>
      </w:r>
      <w:r>
        <w:t xml:space="preserve"> </w:t>
      </w:r>
      <w:r>
        <w:t xml:space="preserve">– you don’t run claims through a clearinghouse or RCM partner. Generate a CMS-1500 PDF for the occasional paper/portal payer, or hand patients a superbill to self-submit for out-of-network reimbursement. Common for cash-pay and OON practices (see</w:t>
      </w:r>
      <w:r>
        <w:t xml:space="preserve"> </w:t>
      </w:r>
      <w:hyperlink w:anchor="what-is-your-reimbursement-model">
        <w:r>
          <w:rPr>
            <w:rStyle w:val="Hyperlink"/>
          </w:rPr>
          <w:t xml:space="preserve">Reimbursement model</w:t>
        </w:r>
      </w:hyperlink>
      <w:r>
        <w:t xml:space="preserve">); also a per-payer fallback you can layer onto any engine above.</w:t>
      </w:r>
    </w:p>
    <w:p>
      <w:pPr>
        <w:pStyle w:val="Compact"/>
        <w:numPr>
          <w:ilvl w:val="0"/>
          <w:numId w:val="1003"/>
        </w:numPr>
      </w:pPr>
      <w:r>
        <w:rPr>
          <w:b/>
          <w:bCs/>
        </w:rPr>
        <w:t xml:space="preserve">External Practice Management (PM) / billing system</w:t>
      </w:r>
      <w:r>
        <w:t xml:space="preserve"> </w:t>
      </w:r>
      <w:r>
        <w:t xml:space="preserve">– Medplum is the clinical source of truth; charges or claims hand off to an existing PM/billing system that owns the rest.</w:t>
      </w:r>
    </w:p>
    <w:p>
      <w:pPr>
        <w:pStyle w:val="FirstParagraph"/>
      </w:pPr>
      <w:r>
        <w:rPr>
          <w:i/>
          <w:iCs/>
        </w:rPr>
        <w:t xml:space="preserve">In one line: a clearinghouse moves your claims; an RCM platform runs your revenue cycle. Either way Medplum owns the front half (coverage, charge capture, claim assembly); the paths diverge on the back half.</w:t>
      </w:r>
    </w:p>
    <w:tbl>
      <w:tblPr>
        <w:tblStyle w:val="Table"/>
        <w:tblW w:w="9360" w:type="dxa"/>
        <w:tblLayout w:type="fixed"/>
        <w:tblLook w:firstRow="1" w:lastRow="0" w:firstColumn="0" w:lastColumn="0" w:noHBand="0" w:noVBand="0" w:val="0020"/>
      </w:tblPr>
      <w:tblGrid>
        <w:gridCol w:w="2061"/>
        <w:gridCol w:w="2330"/>
        <w:gridCol w:w="1791"/>
        <w:gridCol w:w="1791"/>
        <w:gridCol w:w="1387"/>
      </w:tblGrid>
      <w:tr>
        <w:trPr>
          <w:cantSplit/>
          <w:tblHeader w:val="on"/>
        </w:trPr>
        <w:tc>
          <w:tcPr/>
          <w:p>
            <w:pPr>
              <w:pStyle w:val="Compact"/>
              <w:jc w:val="left"/>
            </w:pPr>
            <w:r>
              <w:t xml:space="preserve">Revenue-cycle stage</w:t>
            </w:r>
          </w:p>
        </w:tc>
        <w:tc>
          <w:tcPr/>
          <w:p>
            <w:pPr>
              <w:pStyle w:val="Compact"/>
              <w:jc w:val="left"/>
            </w:pPr>
            <w:r>
              <w:t xml:space="preserve">Clearinghouse</w:t>
            </w:r>
          </w:p>
        </w:tc>
        <w:tc>
          <w:tcPr/>
          <w:p>
            <w:pPr>
              <w:pStyle w:val="Compact"/>
              <w:jc w:val="left"/>
            </w:pPr>
            <w:r>
              <w:t xml:space="preserve">RCM partner</w:t>
            </w:r>
          </w:p>
        </w:tc>
        <w:tc>
          <w:tcPr/>
          <w:p>
            <w:pPr>
              <w:pStyle w:val="Compact"/>
              <w:jc w:val="left"/>
            </w:pPr>
            <w:r>
              <w:t xml:space="preserve">Documents only</w:t>
            </w:r>
          </w:p>
        </w:tc>
        <w:tc>
          <w:tcPr/>
          <w:p>
            <w:pPr>
              <w:pStyle w:val="Compact"/>
              <w:jc w:val="left"/>
            </w:pPr>
            <w:r>
              <w:t xml:space="preserve">External PM</w:t>
            </w:r>
          </w:p>
        </w:tc>
      </w:tr>
      <w:tr>
        <w:trPr>
          <w:cantSplit/>
        </w:trPr>
        <w:tc>
          <w:tcPr/>
          <w:p>
            <w:pPr>
              <w:pStyle w:val="Compact"/>
              <w:jc w:val="left"/>
            </w:pPr>
            <w:hyperlink w:anchor="Xa8406ddfcb1bd70b201a9e99f840ee7e98a9469">
              <w:r>
                <w:rPr>
                  <w:rStyle w:val="Hyperlink"/>
                </w:rPr>
                <w:t xml:space="preserve">Coverage</w:t>
              </w:r>
            </w:hyperlink>
            <w:r>
              <w:t xml:space="preserve"> </w:t>
            </w:r>
            <w:r>
              <w:t xml:space="preserve">&amp;</w:t>
            </w:r>
            <w:r>
              <w:t xml:space="preserve"> </w:t>
            </w:r>
            <w:hyperlink w:anchor="Xd34c8bd9b45e8c621656c0823a1821cd0407119">
              <w:r>
                <w:rPr>
                  <w:rStyle w:val="Hyperlink"/>
                </w:rPr>
                <w:t xml:space="preserve">charge capture</w:t>
              </w:r>
            </w:hyperlink>
          </w:p>
        </w:tc>
        <w:tc>
          <w:tcPr/>
          <w:p>
            <w:pPr>
              <w:pStyle w:val="Compact"/>
              <w:jc w:val="left"/>
            </w:pPr>
            <w:r>
              <w:t xml:space="preserve">You build</w:t>
            </w:r>
          </w:p>
        </w:tc>
        <w:tc>
          <w:tcPr/>
          <w:p>
            <w:pPr>
              <w:pStyle w:val="Compact"/>
              <w:jc w:val="left"/>
            </w:pPr>
            <w:r>
              <w:t xml:space="preserve">You build</w:t>
            </w:r>
          </w:p>
        </w:tc>
        <w:tc>
          <w:tcPr/>
          <w:p>
            <w:pPr>
              <w:pStyle w:val="Compact"/>
              <w:jc w:val="left"/>
            </w:pPr>
            <w:r>
              <w:t xml:space="preserve">You build</w:t>
            </w:r>
          </w:p>
        </w:tc>
        <w:tc>
          <w:tcPr/>
          <w:p>
            <w:pPr>
              <w:pStyle w:val="Compact"/>
              <w:jc w:val="left"/>
            </w:pPr>
            <w:r>
              <w:t xml:space="preserve">You build</w:t>
            </w:r>
          </w:p>
        </w:tc>
      </w:tr>
      <w:tr>
        <w:trPr>
          <w:cantSplit/>
        </w:trPr>
        <w:tc>
          <w:tcPr/>
          <w:p>
            <w:pPr>
              <w:pStyle w:val="Compact"/>
              <w:jc w:val="left"/>
            </w:pPr>
            <w:hyperlink w:anchor="Xbbea4be3b12bcb46aa01fce35ffdab8eaefa4f3">
              <w:r>
                <w:rPr>
                  <w:rStyle w:val="Hyperlink"/>
                </w:rPr>
                <w:t xml:space="preserve">Eligibility</w:t>
              </w:r>
            </w:hyperlink>
          </w:p>
        </w:tc>
        <w:tc>
          <w:tcPr/>
          <w:p>
            <w:pPr>
              <w:pStyle w:val="Compact"/>
              <w:jc w:val="left"/>
            </w:pPr>
            <w:r>
              <w:t xml:space="preserve">Eligibility integration; you own timing and follow-up</w:t>
            </w:r>
          </w:p>
        </w:tc>
        <w:tc>
          <w:tcPr/>
          <w:p>
            <w:pPr>
              <w:pStyle w:val="Compact"/>
              <w:jc w:val="left"/>
            </w:pPr>
            <w:r>
              <w:t xml:space="preserve">Partner workflow or separate eligibility integration</w:t>
            </w:r>
          </w:p>
        </w:tc>
        <w:tc>
          <w:tcPr/>
          <w:p>
            <w:pPr>
              <w:pStyle w:val="Compact"/>
              <w:jc w:val="left"/>
            </w:pPr>
            <w:r>
              <w:t xml:space="preserve">Manual or separate eligibility integration</w:t>
            </w:r>
          </w:p>
        </w:tc>
        <w:tc>
          <w:tcPr/>
          <w:p>
            <w:pPr>
              <w:pStyle w:val="Compact"/>
              <w:jc w:val="left"/>
            </w:pPr>
            <w:r>
              <w:t xml:space="preserve">External</w:t>
            </w:r>
          </w:p>
        </w:tc>
      </w:tr>
      <w:tr>
        <w:trPr>
          <w:cantSplit/>
        </w:trPr>
        <w:tc>
          <w:tcPr/>
          <w:p>
            <w:pPr>
              <w:pStyle w:val="Compact"/>
              <w:jc w:val="left"/>
            </w:pPr>
            <w:hyperlink w:anchor="X77391c27292ca82bfebfaeadf8459f044332849">
              <w:r>
                <w:rPr>
                  <w:rStyle w:val="Hyperlink"/>
                </w:rPr>
                <w:t xml:space="preserve">Claim assembly</w:t>
              </w:r>
            </w:hyperlink>
          </w:p>
        </w:tc>
        <w:tc>
          <w:tcPr/>
          <w:p>
            <w:pPr>
              <w:pStyle w:val="Compact"/>
              <w:jc w:val="left"/>
            </w:pPr>
            <w:r>
              <w:t xml:space="preserve">You build</w:t>
            </w:r>
          </w:p>
        </w:tc>
        <w:tc>
          <w:tcPr/>
          <w:p>
            <w:pPr>
              <w:pStyle w:val="Compact"/>
              <w:jc w:val="left"/>
            </w:pPr>
            <w:r>
              <w:t xml:space="preserve">You build</w:t>
            </w:r>
          </w:p>
        </w:tc>
        <w:tc>
          <w:tcPr/>
          <w:p>
            <w:pPr>
              <w:pStyle w:val="Compact"/>
              <w:jc w:val="left"/>
            </w:pPr>
            <w:r>
              <w:t xml:space="preserve">You build</w:t>
            </w:r>
          </w:p>
        </w:tc>
        <w:tc>
          <w:tcPr/>
          <w:p>
            <w:pPr>
              <w:pStyle w:val="Compact"/>
              <w:jc w:val="left"/>
            </w:pPr>
            <w:r>
              <w:t xml:space="preserve">External</w:t>
            </w:r>
          </w:p>
        </w:tc>
      </w:tr>
      <w:tr>
        <w:trPr>
          <w:cantSplit/>
        </w:trPr>
        <w:tc>
          <w:tcPr/>
          <w:p>
            <w:pPr>
              <w:pStyle w:val="Compact"/>
              <w:jc w:val="left"/>
            </w:pPr>
            <w:r>
              <w:t xml:space="preserve">Scrubbing / validation</w:t>
            </w:r>
          </w:p>
        </w:tc>
        <w:tc>
          <w:tcPr/>
          <w:p>
            <w:pPr>
              <w:pStyle w:val="Compact"/>
              <w:jc w:val="left"/>
            </w:pPr>
            <w:r>
              <w:t xml:space="preserve">You build</w:t>
            </w:r>
          </w:p>
        </w:tc>
        <w:tc>
          <w:tcPr/>
          <w:p>
            <w:pPr>
              <w:pStyle w:val="Compact"/>
              <w:jc w:val="left"/>
            </w:pPr>
            <w:r>
              <w:t xml:space="preserve">Partner owns</w:t>
            </w:r>
          </w:p>
        </w:tc>
        <w:tc>
          <w:tcPr/>
          <w:p>
            <w:pPr>
              <w:pStyle w:val="Compact"/>
              <w:jc w:val="left"/>
            </w:pPr>
            <w:r>
              <w:t xml:space="preserve">Light</w:t>
            </w:r>
          </w:p>
        </w:tc>
        <w:tc>
          <w:tcPr/>
          <w:p>
            <w:pPr>
              <w:pStyle w:val="Compact"/>
              <w:jc w:val="left"/>
            </w:pPr>
            <w:r>
              <w:t xml:space="preserve">External</w:t>
            </w:r>
          </w:p>
        </w:tc>
      </w:tr>
      <w:tr>
        <w:trPr>
          <w:cantSplit/>
        </w:trPr>
        <w:tc>
          <w:tcPr/>
          <w:p>
            <w:pPr>
              <w:pStyle w:val="Compact"/>
              <w:jc w:val="left"/>
            </w:pPr>
            <w:hyperlink w:anchor="X77391c27292ca82bfebfaeadf8459f044332849">
              <w:r>
                <w:rPr>
                  <w:rStyle w:val="Hyperlink"/>
                </w:rPr>
                <w:t xml:space="preserve">Submission</w:t>
              </w:r>
            </w:hyperlink>
          </w:p>
        </w:tc>
        <w:tc>
          <w:tcPr/>
          <w:p>
            <w:pPr>
              <w:pStyle w:val="Compact"/>
              <w:jc w:val="left"/>
            </w:pPr>
            <w:r>
              <w:t xml:space="preserve">You build (837P)</w:t>
            </w:r>
          </w:p>
        </w:tc>
        <w:tc>
          <w:tcPr/>
          <w:p>
            <w:pPr>
              <w:pStyle w:val="Compact"/>
              <w:jc w:val="left"/>
            </w:pPr>
            <w:r>
              <w:t xml:space="preserve">Partner submit op</w:t>
            </w:r>
          </w:p>
        </w:tc>
        <w:tc>
          <w:tcPr/>
          <w:p>
            <w:pPr>
              <w:pStyle w:val="Compact"/>
              <w:jc w:val="left"/>
            </w:pPr>
            <w:r>
              <w:t xml:space="preserve">PDF / patient files</w:t>
            </w:r>
          </w:p>
        </w:tc>
        <w:tc>
          <w:tcPr/>
          <w:p>
            <w:pPr>
              <w:pStyle w:val="Compact"/>
              <w:jc w:val="left"/>
            </w:pPr>
            <w:r>
              <w:t xml:space="preserve">External</w:t>
            </w:r>
          </w:p>
        </w:tc>
      </w:tr>
      <w:tr>
        <w:trPr>
          <w:cantSplit/>
        </w:trPr>
        <w:tc>
          <w:tcPr/>
          <w:p>
            <w:pPr>
              <w:pStyle w:val="Compact"/>
              <w:jc w:val="left"/>
            </w:pPr>
            <w:hyperlink w:anchor="X746a8460f386e4026b0dff6ec24346f15027834">
              <w:r>
                <w:rPr>
                  <w:rStyle w:val="Hyperlink"/>
                </w:rPr>
                <w:t xml:space="preserve">Responses &amp; ERA posting</w:t>
              </w:r>
            </w:hyperlink>
          </w:p>
        </w:tc>
        <w:tc>
          <w:tcPr/>
          <w:p>
            <w:pPr>
              <w:pStyle w:val="Compact"/>
              <w:jc w:val="left"/>
            </w:pPr>
            <w:r>
              <w:t xml:space="preserve">You own report ingestion, interpretation, and posting; verify what the integration supplies</w:t>
            </w:r>
          </w:p>
        </w:tc>
        <w:tc>
          <w:tcPr/>
          <w:p>
            <w:pPr>
              <w:pStyle w:val="Compact"/>
              <w:jc w:val="left"/>
            </w:pPr>
            <w:r>
              <w:t xml:space="preserve">Partner owns; define status/task sync</w:t>
            </w:r>
          </w:p>
        </w:tc>
        <w:tc>
          <w:tcPr/>
          <w:p>
            <w:pPr>
              <w:pStyle w:val="Compact"/>
              <w:jc w:val="left"/>
            </w:pPr>
            <w:r>
              <w:t xml:space="preserve">Manual</w:t>
            </w:r>
          </w:p>
        </w:tc>
        <w:tc>
          <w:tcPr/>
          <w:p>
            <w:pPr>
              <w:pStyle w:val="Compact"/>
              <w:jc w:val="left"/>
            </w:pPr>
            <w:r>
              <w:t xml:space="preserve">External</w:t>
            </w:r>
          </w:p>
        </w:tc>
      </w:tr>
      <w:tr>
        <w:trPr>
          <w:cantSplit/>
        </w:trPr>
        <w:tc>
          <w:tcPr/>
          <w:p>
            <w:pPr>
              <w:pStyle w:val="Compact"/>
              <w:jc w:val="left"/>
            </w:pPr>
            <w:hyperlink w:anchor="Xf46c4c29a90f7fd4ac180a91d29dd8f9415c6f0">
              <w:r>
                <w:rPr>
                  <w:rStyle w:val="Hyperlink"/>
                </w:rPr>
                <w:t xml:space="preserve">Denials &amp; resubmission</w:t>
              </w:r>
            </w:hyperlink>
          </w:p>
        </w:tc>
        <w:tc>
          <w:tcPr/>
          <w:p>
            <w:pPr>
              <w:pStyle w:val="Compact"/>
              <w:jc w:val="left"/>
            </w:pPr>
            <w:r>
              <w:t xml:space="preserve">You build</w:t>
            </w:r>
          </w:p>
        </w:tc>
        <w:tc>
          <w:tcPr/>
          <w:p>
            <w:pPr>
              <w:pStyle w:val="Compact"/>
              <w:jc w:val="left"/>
            </w:pPr>
            <w:r>
              <w:t xml:space="preserve">Partner owns; define status/task sync</w:t>
            </w:r>
          </w:p>
        </w:tc>
        <w:tc>
          <w:tcPr/>
          <w:p>
            <w:pPr>
              <w:pStyle w:val="Compact"/>
              <w:jc w:val="left"/>
            </w:pPr>
            <w:r>
              <w:t xml:space="preserve">Manual</w:t>
            </w:r>
          </w:p>
        </w:tc>
        <w:tc>
          <w:tcPr/>
          <w:p>
            <w:pPr>
              <w:pStyle w:val="Compact"/>
              <w:jc w:val="left"/>
            </w:pPr>
            <w:r>
              <w:t xml:space="preserve">External</w:t>
            </w:r>
          </w:p>
        </w:tc>
      </w:tr>
      <w:tr>
        <w:trPr>
          <w:cantSplit/>
        </w:trPr>
        <w:tc>
          <w:tcPr/>
          <w:p>
            <w:pPr>
              <w:pStyle w:val="Compact"/>
              <w:jc w:val="left"/>
            </w:pPr>
            <w:hyperlink w:anchor="X3429ee957dacc59b7a0ff7e79e7186185b7175c">
              <w:r>
                <w:rPr>
                  <w:rStyle w:val="Hyperlink"/>
                </w:rPr>
                <w:t xml:space="preserve">AR &amp; reporting</w:t>
              </w:r>
            </w:hyperlink>
          </w:p>
        </w:tc>
        <w:tc>
          <w:tcPr/>
          <w:p>
            <w:pPr>
              <w:pStyle w:val="Compact"/>
              <w:jc w:val="left"/>
            </w:pPr>
            <w:r>
              <w:t xml:space="preserve">You build</w:t>
            </w:r>
          </w:p>
        </w:tc>
        <w:tc>
          <w:tcPr/>
          <w:p>
            <w:pPr>
              <w:pStyle w:val="Compact"/>
              <w:jc w:val="left"/>
            </w:pPr>
            <w:r>
              <w:t xml:space="preserve">Partner owns</w:t>
            </w:r>
          </w:p>
        </w:tc>
        <w:tc>
          <w:tcPr/>
          <w:p>
            <w:pPr>
              <w:pStyle w:val="Compact"/>
              <w:jc w:val="left"/>
            </w:pPr>
            <w:r>
              <w:t xml:space="preserve">Manual</w:t>
            </w:r>
          </w:p>
        </w:tc>
        <w:tc>
          <w:tcPr/>
          <w:p>
            <w:pPr>
              <w:pStyle w:val="Compact"/>
              <w:jc w:val="left"/>
            </w:pPr>
            <w:r>
              <w:t xml:space="preserve">External</w:t>
            </w:r>
          </w:p>
        </w:tc>
      </w:tr>
    </w:tbl>
    <w:p>
      <w:pPr>
        <w:pStyle w:val="BodyText"/>
      </w:pPr>
      <w:r>
        <w:rPr>
          <w:b/>
          <w:bCs/>
        </w:rPr>
        <w:t xml:space="preserve">How to choose:</w:t>
      </w:r>
    </w:p>
    <w:tbl>
      <w:tblPr>
        <w:tblStyle w:val="Table"/>
        <w:tblW w:w="9360" w:type="dxa"/>
        <w:tblLayout w:type="fixed"/>
        <w:tblLook w:firstRow="1" w:lastRow="0" w:firstColumn="0" w:lastColumn="0" w:noHBand="0" w:noVBand="0" w:val="0020"/>
      </w:tblPr>
      <w:tblGrid>
        <w:gridCol w:w="1580"/>
        <w:gridCol w:w="3960"/>
        <w:gridCol w:w="3820"/>
      </w:tblGrid>
      <w:tr>
        <w:trPr>
          <w:cantSplit/>
          <w:tblHeader w:val="on"/>
        </w:trPr>
        <w:tc>
          <w:tcPr/>
          <w:p>
            <w:pPr>
              <w:pStyle w:val="Compact"/>
            </w:pPr>
          </w:p>
        </w:tc>
        <w:tc>
          <w:tcPr/>
          <w:p>
            <w:pPr>
              <w:pStyle w:val="Compact"/>
              <w:jc w:val="left"/>
            </w:pPr>
            <w:r>
              <w:t xml:space="preserve">Clearinghouse</w:t>
            </w:r>
          </w:p>
        </w:tc>
        <w:tc>
          <w:tcPr/>
          <w:p>
            <w:pPr>
              <w:pStyle w:val="Compact"/>
              <w:jc w:val="left"/>
            </w:pPr>
            <w:r>
              <w:t xml:space="preserve">RCM partner</w:t>
            </w:r>
          </w:p>
        </w:tc>
      </w:tr>
      <w:tr>
        <w:trPr>
          <w:cantSplit/>
        </w:trPr>
        <w:tc>
          <w:tcPr/>
          <w:p>
            <w:pPr>
              <w:pStyle w:val="Compact"/>
              <w:jc w:val="left"/>
            </w:pPr>
            <w:r>
              <w:t xml:space="preserve">You get</w:t>
            </w:r>
          </w:p>
        </w:tc>
        <w:tc>
          <w:tcPr/>
          <w:p>
            <w:pPr>
              <w:pStyle w:val="Compact"/>
              <w:jc w:val="left"/>
            </w:pPr>
            <w:r>
              <w:t xml:space="preserve">Full control; billing data stays as FHIR in Medplum</w:t>
            </w:r>
          </w:p>
        </w:tc>
        <w:tc>
          <w:tcPr/>
          <w:p>
            <w:pPr>
              <w:pStyle w:val="Compact"/>
              <w:jc w:val="left"/>
            </w:pPr>
            <w:r>
              <w:t xml:space="preserve">A payer-rules engine and in-house billers; far less to build</w:t>
            </w:r>
          </w:p>
        </w:tc>
      </w:tr>
      <w:tr>
        <w:trPr>
          <w:cantSplit/>
        </w:trPr>
        <w:tc>
          <w:tcPr/>
          <w:p>
            <w:pPr>
              <w:pStyle w:val="Compact"/>
              <w:jc w:val="left"/>
            </w:pPr>
            <w:r>
              <w:t xml:space="preserve">Trade-off</w:t>
            </w:r>
          </w:p>
        </w:tc>
        <w:tc>
          <w:tcPr/>
          <w:p>
            <w:pPr>
              <w:pStyle w:val="Compact"/>
              <w:jc w:val="left"/>
            </w:pPr>
            <w:r>
              <w:t xml:space="preserve">You build and maintain the entire back office</w:t>
            </w:r>
          </w:p>
        </w:tc>
        <w:tc>
          <w:tcPr/>
          <w:p>
            <w:pPr>
              <w:pStyle w:val="Compact"/>
              <w:jc w:val="left"/>
            </w:pPr>
            <w:r>
              <w:t xml:space="preserve">Recurring fees; less control; AR and reporting live on the partner’s platform</w:t>
            </w:r>
          </w:p>
        </w:tc>
      </w:tr>
      <w:tr>
        <w:trPr>
          <w:cantSplit/>
        </w:trPr>
        <w:tc>
          <w:tcPr/>
          <w:p>
            <w:pPr>
              <w:pStyle w:val="Compact"/>
              <w:jc w:val="left"/>
            </w:pPr>
            <w:r>
              <w:t xml:space="preserve">Choose if</w:t>
            </w:r>
          </w:p>
        </w:tc>
        <w:tc>
          <w:tcPr/>
          <w:p>
            <w:pPr>
              <w:pStyle w:val="Compact"/>
              <w:jc w:val="left"/>
            </w:pPr>
            <w:r>
              <w:t xml:space="preserve">You have RCM expertise and want a fully owned cycle</w:t>
            </w:r>
          </w:p>
        </w:tc>
        <w:tc>
          <w:tcPr/>
          <w:p>
            <w:pPr>
              <w:pStyle w:val="Compact"/>
              <w:jc w:val="left"/>
            </w:pPr>
            <w:r>
              <w:t xml:space="preserve">You want to outsource the cycle</w:t>
            </w:r>
          </w:p>
        </w:tc>
      </w:tr>
    </w:tbl>
    <w:p>
      <w:pPr>
        <w:pStyle w:val="BodyText"/>
      </w:pPr>
      <w:r>
        <w:rPr>
          <w:i/>
          <w:iCs/>
        </w:rPr>
        <w:t xml:space="preserve">Paths can mix. The choice sets which workflows you build (</w:t>
      </w:r>
      <w:hyperlink w:anchor="Xd34c8bd9b45e8c621656c0823a1821cd0407119">
        <w:r>
          <w:rPr>
            <w:rStyle w:val="Hyperlink"/>
            <w:i/>
            <w:iCs/>
          </w:rPr>
          <w:t xml:space="preserve">Charge capture</w:t>
        </w:r>
      </w:hyperlink>
      <w:r>
        <w:rPr>
          <w:i/>
          <w:iCs/>
        </w:rPr>
        <w:t xml:space="preserve">,</w:t>
      </w:r>
      <w:r>
        <w:rPr>
          <w:i/>
          <w:iCs/>
        </w:rPr>
        <w:t xml:space="preserve"> </w:t>
      </w:r>
      <w:hyperlink w:anchor="X77391c27292ca82bfebfaeadf8459f044332849">
        <w:r>
          <w:rPr>
            <w:rStyle w:val="Hyperlink"/>
            <w:i/>
            <w:iCs/>
          </w:rPr>
          <w:t xml:space="preserve">Claim submission</w:t>
        </w:r>
      </w:hyperlink>
      <w:r>
        <w:rPr>
          <w:i/>
          <w:iCs/>
        </w:rPr>
        <w:t xml:space="preserve">,</w:t>
      </w:r>
      <w:r>
        <w:rPr>
          <w:i/>
          <w:iCs/>
        </w:rPr>
        <w:t xml:space="preserve"> </w:t>
      </w:r>
      <w:hyperlink w:anchor="X746a8460f386e4026b0dff6ec24346f15027834">
        <w:r>
          <w:rPr>
            <w:rStyle w:val="Hyperlink"/>
            <w:i/>
            <w:iCs/>
          </w:rPr>
          <w:t xml:space="preserve">Responses and posting</w:t>
        </w:r>
      </w:hyperlink>
      <w:r>
        <w:rPr>
          <w:i/>
          <w:iCs/>
        </w:rPr>
        <w:t xml:space="preserve">,</w:t>
      </w:r>
      <w:r>
        <w:rPr>
          <w:i/>
          <w:iCs/>
        </w:rPr>
        <w:t xml:space="preserve"> </w:t>
      </w:r>
      <w:hyperlink w:anchor="Xf46c4c29a90f7fd4ac180a91d29dd8f9415c6f0">
        <w:r>
          <w:rPr>
            <w:rStyle w:val="Hyperlink"/>
            <w:i/>
            <w:iCs/>
          </w:rPr>
          <w:t xml:space="preserve">Denials and appeals</w:t>
        </w:r>
      </w:hyperlink>
      <w:r>
        <w:rPr>
          <w:i/>
          <w:iCs/>
        </w:rPr>
        <w:t xml:space="preserve">,</w:t>
      </w:r>
      <w:r>
        <w:rPr>
          <w:i/>
          <w:iCs/>
        </w:rPr>
        <w:t xml:space="preserve"> </w:t>
      </w:r>
      <w:hyperlink w:anchor="how-will-patients-be-billed">
        <w:r>
          <w:rPr>
            <w:rStyle w:val="Hyperlink"/>
            <w:i/>
            <w:iCs/>
          </w:rPr>
          <w:t xml:space="preserve">Patient billing</w:t>
        </w:r>
      </w:hyperlink>
      <w:r>
        <w:rPr>
          <w:i/>
          <w:iCs/>
        </w:rPr>
        <w:t xml:space="preserve">,</w:t>
      </w:r>
      <w:r>
        <w:rPr>
          <w:i/>
          <w:iCs/>
        </w:rPr>
        <w:t xml:space="preserve"> </w:t>
      </w:r>
      <w:hyperlink w:anchor="X3429ee957dacc59b7a0ff7e79e7186185b7175c">
        <w:r>
          <w:rPr>
            <w:rStyle w:val="Hyperlink"/>
            <w:i/>
            <w:iCs/>
          </w:rPr>
          <w:t xml:space="preserve">AR and reporting</w:t>
        </w:r>
      </w:hyperlink>
      <w:r>
        <w:rPr>
          <w:i/>
          <w:iCs/>
        </w:rPr>
        <w:t xml:space="preserve">) vs. read only for the boundary.</w:t>
      </w:r>
    </w:p>
    <w:bookmarkStart w:id="17" w:name="X0bdf91dd45f9579562860888303e2fbabebc1be"/>
    <w:bookmarkEnd w:id="17"/>
    <w:bookmarkEnd w:id="18"/>
    <w:bookmarkStart w:id="20" w:name="X626c330ebcc717433c02174283059d3144c2165"/>
    <w:p>
      <w:pPr>
        <w:pStyle w:val="Heading3"/>
      </w:pPr>
      <w:r>
        <w:t xml:space="preserve">Who does the billing work, and is the patient part of it?</w:t>
      </w:r>
    </w:p>
    <w:p>
      <w:pPr>
        <w:pStyle w:val="Compact"/>
        <w:numPr>
          <w:ilvl w:val="0"/>
          <w:numId w:val="1004"/>
        </w:numPr>
      </w:pPr>
      <w:r>
        <w:t xml:space="preserve">Charge capture: clinicians at point of care, or back-office entry?</w:t>
      </w:r>
    </w:p>
    <w:p>
      <w:pPr>
        <w:pStyle w:val="Compact"/>
        <w:numPr>
          <w:ilvl w:val="0"/>
          <w:numId w:val="1004"/>
        </w:numPr>
      </w:pPr>
      <w:r>
        <w:t xml:space="preserve">Coding and claim work: dedicated coders/billers, or automated with exception review?</w:t>
      </w:r>
    </w:p>
    <w:p>
      <w:pPr>
        <w:pStyle w:val="Compact"/>
        <w:numPr>
          <w:ilvl w:val="0"/>
          <w:numId w:val="1004"/>
        </w:numPr>
      </w:pPr>
      <w:r>
        <w:t xml:space="preserve">Accounts receivable (AR) follow-up: who works denials, aging, and patient balances?</w:t>
      </w:r>
    </w:p>
    <w:p>
      <w:pPr>
        <w:pStyle w:val="Compact"/>
        <w:numPr>
          <w:ilvl w:val="0"/>
          <w:numId w:val="1004"/>
        </w:numPr>
      </w:pPr>
      <w:r>
        <w:t xml:space="preserve">Patient: do patients see estimates, statements, or pay online?</w:t>
      </w:r>
    </w:p>
    <w:p>
      <w:pPr>
        <w:pStyle w:val="FirstParagraph"/>
      </w:pPr>
      <w:r>
        <w:rPr>
          <w:i/>
          <w:iCs/>
        </w:rPr>
        <w:t xml:space="preserve">Why: drives charge-capture design (</w:t>
      </w:r>
      <w:hyperlink w:anchor="Xd34c8bd9b45e8c621656c0823a1821cd0407119">
        <w:r>
          <w:rPr>
            <w:rStyle w:val="Hyperlink"/>
            <w:i/>
            <w:iCs/>
          </w:rPr>
          <w:t xml:space="preserve">Charge capture</w:t>
        </w:r>
      </w:hyperlink>
      <w:r>
        <w:rPr>
          <w:i/>
          <w:iCs/>
        </w:rPr>
        <w:t xml:space="preserve">), who works denials and AR (</w:t>
      </w:r>
      <w:hyperlink w:anchor="Xf46c4c29a90f7fd4ac180a91d29dd8f9415c6f0">
        <w:r>
          <w:rPr>
            <w:rStyle w:val="Hyperlink"/>
            <w:i/>
            <w:iCs/>
          </w:rPr>
          <w:t xml:space="preserve">Denials and appeals</w:t>
        </w:r>
      </w:hyperlink>
      <w:r>
        <w:rPr>
          <w:i/>
          <w:iCs/>
        </w:rPr>
        <w:t xml:space="preserve">,</w:t>
      </w:r>
      <w:r>
        <w:rPr>
          <w:i/>
          <w:iCs/>
        </w:rPr>
        <w:t xml:space="preserve"> </w:t>
      </w:r>
      <w:hyperlink w:anchor="X3429ee957dacc59b7a0ff7e79e7186185b7175c">
        <w:r>
          <w:rPr>
            <w:rStyle w:val="Hyperlink"/>
            <w:i/>
            <w:iCs/>
          </w:rPr>
          <w:t xml:space="preserve">AR and reporting</w:t>
        </w:r>
      </w:hyperlink>
      <w:r>
        <w:rPr>
          <w:i/>
          <w:iCs/>
        </w:rPr>
        <w:t xml:space="preserve">), and whether patient-facing billing is in scope (</w:t>
      </w:r>
      <w:hyperlink w:anchor="how-will-patients-be-billed">
        <w:r>
          <w:rPr>
            <w:rStyle w:val="Hyperlink"/>
            <w:i/>
            <w:iCs/>
          </w:rPr>
          <w:t xml:space="preserve">Patient billing</w:t>
        </w:r>
      </w:hyperlink>
      <w:r>
        <w:rPr>
          <w:i/>
          <w:iCs/>
        </w:rPr>
        <w:t xml:space="preserve">).</w:t>
      </w:r>
    </w:p>
    <w:bookmarkStart w:id="19" w:name="Xa593cf512ce1c44898ac34579f38c5bf3854532"/>
    <w:bookmarkEnd w:id="19"/>
    <w:bookmarkEnd w:id="20"/>
    <w:bookmarkStart w:id="22" w:name="Xf4d41eaa08989bf80ea83ba446ffdada1b5e347"/>
    <w:p>
      <w:pPr>
        <w:pStyle w:val="Heading3"/>
      </w:pPr>
      <w:r>
        <w:t xml:space="preserve">Where does coding happen, and how automated is it?</w:t>
      </w:r>
    </w:p>
    <w:p>
      <w:pPr>
        <w:pStyle w:val="Compact"/>
        <w:numPr>
          <w:ilvl w:val="0"/>
          <w:numId w:val="1005"/>
        </w:numPr>
      </w:pPr>
      <w:r>
        <w:t xml:space="preserve">Auto-derived from clinical data (visit type, orders, procedures)?</w:t>
      </w:r>
    </w:p>
    <w:p>
      <w:pPr>
        <w:pStyle w:val="Compact"/>
        <w:numPr>
          <w:ilvl w:val="0"/>
          <w:numId w:val="1005"/>
        </w:numPr>
      </w:pPr>
      <w:r>
        <w:t xml:space="preserve">Coder-reviewed before the claim is built?</w:t>
      </w:r>
    </w:p>
    <w:p>
      <w:pPr>
        <w:pStyle w:val="Compact"/>
        <w:numPr>
          <w:ilvl w:val="0"/>
          <w:numId w:val="1005"/>
        </w:numPr>
      </w:pPr>
      <w:r>
        <w:t xml:space="preserve">Fully manual?</w:t>
      </w:r>
    </w:p>
    <w:p>
      <w:pPr>
        <w:pStyle w:val="FirstParagraph"/>
      </w:pPr>
      <w:r>
        <w:rPr>
          <w:i/>
          <w:iCs/>
        </w:rPr>
        <w:t xml:space="preserve">Why: drives the coding and review model in charge capture (</w:t>
      </w:r>
      <w:hyperlink w:anchor="Xd34c8bd9b45e8c621656c0823a1821cd0407119">
        <w:r>
          <w:rPr>
            <w:rStyle w:val="Hyperlink"/>
            <w:i/>
            <w:iCs/>
          </w:rPr>
          <w:t xml:space="preserve">Charge capture</w:t>
        </w:r>
      </w:hyperlink>
      <w:r>
        <w:rPr>
          <w:i/>
          <w:iCs/>
        </w:rPr>
        <w:t xml:space="preserve">) and where scrubbing exceptions surface (</w:t>
      </w:r>
      <w:hyperlink w:anchor="X77391c27292ca82bfebfaeadf8459f044332849">
        <w:r>
          <w:rPr>
            <w:rStyle w:val="Hyperlink"/>
            <w:i/>
            <w:iCs/>
          </w:rPr>
          <w:t xml:space="preserve">Claim submission</w:t>
        </w:r>
      </w:hyperlink>
      <w:r>
        <w:rPr>
          <w:i/>
          <w:iCs/>
        </w:rPr>
        <w:t xml:space="preserve">).</w:t>
      </w:r>
    </w:p>
    <w:bookmarkStart w:id="21" w:name="X706bae8768f71b48c0f419715f0842171e29637"/>
    <w:bookmarkEnd w:id="21"/>
    <w:bookmarkEnd w:id="22"/>
    <w:bookmarkStart w:id="29" w:name="Xb76fab0ec41ce4da2739c2f7c5188f90254005c"/>
    <w:p>
      <w:pPr>
        <w:pStyle w:val="Heading3"/>
      </w:pPr>
      <w:r>
        <w:t xml:space="preserve">New build or replacing/extending, and what else must billing touch?</w:t>
      </w:r>
    </w:p>
    <w:p>
      <w:pPr>
        <w:pStyle w:val="Compact"/>
        <w:numPr>
          <w:ilvl w:val="0"/>
          <w:numId w:val="1006"/>
        </w:numPr>
      </w:pPr>
      <w:r>
        <w:t xml:space="preserve">If replacing: what billing/PM system, and what gaps drove the change?</w:t>
      </w:r>
    </w:p>
    <w:p>
      <w:pPr>
        <w:pStyle w:val="Compact"/>
        <w:numPr>
          <w:ilvl w:val="0"/>
          <w:numId w:val="1006"/>
        </w:numPr>
      </w:pPr>
      <w:r>
        <w:t xml:space="preserve">If new: is billing core to the product (you’re building an RCM/billing product) or additive (a clinical app that also needs to bill)?</w:t>
      </w:r>
    </w:p>
    <w:p>
      <w:pPr>
        <w:pStyle w:val="Compact"/>
        <w:numPr>
          <w:ilvl w:val="0"/>
          <w:numId w:val="1006"/>
        </w:numPr>
      </w:pPr>
      <w:r>
        <w:t xml:space="preserve">What other systems must billing read from or write to (clinical/EHR source, PM, clearinghouse, accounting/GL, payment processor, payer portals)?</w:t>
      </w:r>
    </w:p>
    <w:p>
      <w:pPr>
        <w:pStyle w:val="FirstParagraph"/>
      </w:pPr>
      <w:r>
        <w:rPr>
          <w:i/>
          <w:iCs/>
        </w:rPr>
        <w:t xml:space="preserve">Why: surfaces integration boundaries and the source-of-truth split behind</w:t>
      </w:r>
      <w:r>
        <w:rPr>
          <w:i/>
          <w:iCs/>
        </w:rPr>
        <w:t xml:space="preserve"> </w:t>
      </w:r>
      <w:hyperlink w:anchor="X84010e9cce6a158202632be05194bacb308ba01">
        <w:r>
          <w:rPr>
            <w:rStyle w:val="Hyperlink"/>
            <w:i/>
            <w:iCs/>
          </w:rPr>
          <w:t xml:space="preserve">Workflow ownership</w:t>
        </w:r>
      </w:hyperlink>
      <w:r>
        <w:rPr>
          <w:i/>
          <w:iCs/>
        </w:rPr>
        <w:t xml:space="preserve">,</w:t>
      </w:r>
      <w:r>
        <w:rPr>
          <w:i/>
          <w:iCs/>
        </w:rPr>
        <w:t xml:space="preserve"> </w:t>
      </w:r>
      <w:hyperlink w:anchor="X77391c27292ca82bfebfaeadf8459f044332849">
        <w:r>
          <w:rPr>
            <w:rStyle w:val="Hyperlink"/>
            <w:i/>
            <w:iCs/>
          </w:rPr>
          <w:t xml:space="preserve">Claim submission</w:t>
        </w:r>
      </w:hyperlink>
      <w:r>
        <w:rPr>
          <w:i/>
          <w:iCs/>
        </w:rPr>
        <w:t xml:space="preserve">, and</w:t>
      </w:r>
      <w:r>
        <w:rPr>
          <w:i/>
          <w:iCs/>
        </w:rPr>
        <w:t xml:space="preserve"> </w:t>
      </w:r>
      <w:hyperlink w:anchor="X746a8460f386e4026b0dff6ec24346f15027834">
        <w:r>
          <w:rPr>
            <w:rStyle w:val="Hyperlink"/>
            <w:i/>
            <w:iCs/>
          </w:rPr>
          <w:t xml:space="preserve">Responses and posting</w:t>
        </w:r>
      </w:hyperlink>
      <w:r>
        <w:rPr>
          <w:i/>
          <w:iCs/>
        </w:rPr>
        <w:t xml:space="preserve">. Core-to-product builds tend to own the cycle (a clearinghouse); additive builds tend to delegate (an RCM partner or external PM).</w:t>
      </w:r>
    </w:p>
    <w:bookmarkStart w:id="23" w:name="section-2-feature-scoping"/>
    <w:bookmarkEnd w:id="23"/>
    <w:bookmarkStart w:id="24" w:name="scope-checklist"/>
    <w:bookmarkEnd w:id="24"/>
    <w:bookmarkStart w:id="25" w:name="section-3-feature-deep-dives"/>
    <w:bookmarkEnd w:id="25"/>
    <w:bookmarkStart w:id="26" w:name="decisions"/>
    <w:bookmarkEnd w:id="26"/>
    <w:bookmarkStart w:id="27" w:name="decision-1"/>
    <w:bookmarkEnd w:id="27"/>
    <w:bookmarkStart w:id="28" w:name="Xcab858c95bd2fd701200978dda5c752264f5227"/>
    <w:bookmarkEnd w:id="28"/>
    <w:bookmarkEnd w:id="29"/>
    <w:bookmarkEnd w:id="30"/>
    <w:bookmarkStart w:id="42" w:name="coverage-and-accounts"/>
    <w:p>
      <w:pPr>
        <w:pStyle w:val="Heading2"/>
      </w:pPr>
      <w:r>
        <w:t xml:space="preserve">Coverage and accounts</w:t>
      </w:r>
    </w:p>
    <w:bookmarkStart w:id="31" w:name="foundations"/>
    <w:bookmarkEnd w:id="31"/>
    <w:bookmarkStart w:id="32" w:name="X566c7e55d16ccb88d0f528372a4280658397bb5"/>
    <w:bookmarkEnd w:id="32"/>
    <w:bookmarkStart w:id="33" w:name="X887afeded978c566825c8ae405ea57fee366ef6"/>
    <w:bookmarkEnd w:id="33"/>
    <w:bookmarkStart w:id="38" w:name="Xa8406ddfcb1bd70b201a9e99f840ee7e98a9469"/>
    <w:p>
      <w:pPr>
        <w:pStyle w:val="Heading3"/>
      </w:pPr>
      <w:r>
        <w:t xml:space="preserve">How will coverage, subscribers, and payers be represented?</w:t>
      </w:r>
    </w:p>
    <w:p>
      <w:pPr>
        <w:pStyle w:val="FirstParagraph"/>
      </w:pPr>
      <w:r>
        <w:t xml:space="preserve">How you represent a patient’s insurance (the coverage stack, the subscriber, payers, cost-sharing) is the foundation every claim and eligibility check builds on. See</w:t>
      </w:r>
      <w:r>
        <w:t xml:space="preserve"> </w:t>
      </w:r>
      <w:hyperlink r:id="rId34">
        <w:r>
          <w:rPr>
            <w:rStyle w:val="Hyperlink"/>
          </w:rPr>
          <w:t xml:space="preserve">Representing Patient Insurance Coverage</w:t>
        </w:r>
      </w:hyperlink>
      <w:r>
        <w:t xml:space="preserve">; coverage capture at intake is in the</w:t>
      </w:r>
      <w:r>
        <w:t xml:space="preserve"> </w:t>
      </w:r>
      <w:hyperlink r:id="rId35">
        <w:r>
          <w:rPr>
            <w:rStyle w:val="Hyperlink"/>
          </w:rPr>
          <w:t xml:space="preserve">Intake guide</w:t>
        </w:r>
      </w:hyperlink>
      <w:r>
        <w:t xml:space="preserve">.</w:t>
      </w:r>
    </w:p>
    <w:p>
      <w:pPr>
        <w:pStyle w:val="BodyText"/>
      </w:pPr>
      <w:r>
        <w:rPr>
          <w:b/>
          <w:bCs/>
        </w:rPr>
        <w:t xml:space="preserve">Questions:</w:t>
      </w:r>
    </w:p>
    <w:p>
      <w:pPr>
        <w:pStyle w:val="Compact"/>
        <w:numPr>
          <w:ilvl w:val="0"/>
          <w:numId w:val="1007"/>
        </w:numPr>
      </w:pPr>
      <w:r>
        <w:t xml:space="preserve">Do patients commonly have more than one coverage, and must you bill them in order?</w:t>
      </w:r>
    </w:p>
    <w:p>
      <w:pPr>
        <w:pStyle w:val="Compact"/>
        <w:numPr>
          <w:ilvl w:val="0"/>
          <w:numId w:val="1007"/>
        </w:numPr>
      </w:pPr>
      <w:r>
        <w:t xml:space="preserve">Is the subscriber sometimes someone other than the patient?</w:t>
      </w:r>
    </w:p>
    <w:p>
      <w:pPr>
        <w:pStyle w:val="Compact"/>
        <w:numPr>
          <w:ilvl w:val="0"/>
          <w:numId w:val="1007"/>
        </w:numPr>
      </w:pPr>
      <w:r>
        <w:t xml:space="preserve">Is your payer list curated in Medplum, synced, or created on demand?</w:t>
      </w:r>
    </w:p>
    <w:p>
      <w:pPr>
        <w:pStyle w:val="Compact"/>
        <w:numPr>
          <w:ilvl w:val="0"/>
          <w:numId w:val="1007"/>
        </w:numPr>
      </w:pPr>
      <w:r>
        <w:t xml:space="preserve">What cost-sharing (copay, coinsurance, deductible) do you need for estimates and patient billing?</w:t>
      </w:r>
    </w:p>
    <w:tbl>
      <w:tblPr>
        <w:tblStyle w:val="Table"/>
        <w:tblW w:w="9360" w:type="dxa"/>
        <w:tblLayout w:type="fixed"/>
        <w:tblLook w:firstRow="1" w:lastRow="0" w:firstColumn="0" w:lastColumn="0" w:noHBand="0" w:noVBand="0" w:val="0020"/>
      </w:tblPr>
      <w:tblGrid>
        <w:gridCol w:w="3709"/>
        <w:gridCol w:w="5651"/>
      </w:tblGrid>
      <w:tr>
        <w:trPr>
          <w:cantSplit/>
          <w:tblHeader w:val="on"/>
        </w:trPr>
        <w:tc>
          <w:tcPr/>
          <w:p>
            <w:pPr>
              <w:pStyle w:val="Compact"/>
              <w:jc w:val="left"/>
            </w:pPr>
            <w:r>
              <w:t xml:space="preserve">Situation</w:t>
            </w:r>
          </w:p>
        </w:tc>
        <w:tc>
          <w:tcPr/>
          <w:p>
            <w:pPr>
              <w:pStyle w:val="Compact"/>
              <w:jc w:val="left"/>
            </w:pPr>
            <w:r>
              <w:t xml:space="preserve">Approach</w:t>
            </w:r>
          </w:p>
        </w:tc>
      </w:tr>
      <w:tr>
        <w:trPr>
          <w:cantSplit/>
        </w:trPr>
        <w:tc>
          <w:tcPr/>
          <w:p>
            <w:pPr>
              <w:pStyle w:val="Compact"/>
              <w:jc w:val="left"/>
            </w:pPr>
            <w:r>
              <w:t xml:space="preserve">Subscriber is the patient</w:t>
            </w:r>
          </w:p>
        </w:tc>
        <w:tc>
          <w:tcPr/>
          <w:p>
            <w:pPr>
              <w:pStyle w:val="Compact"/>
              <w:jc w:val="left"/>
            </w:pPr>
            <w:r>
              <w:t xml:space="preserve">One</w:t>
            </w:r>
            <w:r>
              <w:t xml:space="preserve"> </w:t>
            </w:r>
            <w:r>
              <w:rPr>
                <w:rStyle w:val="VerbatimChar"/>
              </w:rPr>
              <w:t xml:space="preserve">Coverage</w:t>
            </w:r>
            <w:r>
              <w:t xml:space="preserve">;</w:t>
            </w:r>
            <w:r>
              <w:t xml:space="preserve"> </w:t>
            </w:r>
            <w:r>
              <w:rPr>
                <w:rStyle w:val="VerbatimChar"/>
              </w:rPr>
              <w:t xml:space="preserve">subscriber</w:t>
            </w:r>
            <w:r>
              <w:t xml:space="preserve"> </w:t>
            </w:r>
            <w:r>
              <w:t xml:space="preserve">=</w:t>
            </w:r>
            <w:r>
              <w:t xml:space="preserve"> </w:t>
            </w:r>
            <w:r>
              <w:rPr>
                <w:rStyle w:val="VerbatimChar"/>
              </w:rPr>
              <w:t xml:space="preserve">Patient</w:t>
            </w:r>
            <w:r>
              <w:t xml:space="preserve">;</w:t>
            </w:r>
            <w:r>
              <w:t xml:space="preserve"> </w:t>
            </w:r>
            <w:r>
              <w:rPr>
                <w:rStyle w:val="VerbatimChar"/>
              </w:rPr>
              <w:t xml:space="preserve">relationship</w:t>
            </w:r>
            <w:r>
              <w:t xml:space="preserve"> </w:t>
            </w:r>
            <w:r>
              <w:t xml:space="preserve">=</w:t>
            </w:r>
            <w:r>
              <w:t xml:space="preserve"> </w:t>
            </w:r>
            <w:r>
              <w:rPr>
                <w:rStyle w:val="VerbatimChar"/>
              </w:rPr>
              <w:t xml:space="preserve">self</w:t>
            </w:r>
            <w:r>
              <w:t xml:space="preserve">;</w:t>
            </w:r>
            <w:r>
              <w:t xml:space="preserve"> </w:t>
            </w:r>
            <w:r>
              <w:rPr>
                <w:rStyle w:val="VerbatimChar"/>
              </w:rPr>
              <w:t xml:space="preserve">payor</w:t>
            </w:r>
            <w:r>
              <w:t xml:space="preserve"> </w:t>
            </w:r>
            <w:r>
              <w:t xml:space="preserve">→</w:t>
            </w:r>
            <w:r>
              <w:t xml:space="preserve"> </w:t>
            </w:r>
            <w:r>
              <w:rPr>
                <w:rStyle w:val="VerbatimChar"/>
              </w:rPr>
              <w:t xml:space="preserve">Organization</w:t>
            </w:r>
            <w:r>
              <w:t xml:space="preserve">.</w:t>
            </w:r>
          </w:p>
        </w:tc>
      </w:tr>
      <w:tr>
        <w:trPr>
          <w:cantSplit/>
        </w:trPr>
        <w:tc>
          <w:tcPr/>
          <w:p>
            <w:pPr>
              <w:pStyle w:val="Compact"/>
              <w:jc w:val="left"/>
            </w:pPr>
            <w:r>
              <w:t xml:space="preserve">Primary + secondary</w:t>
            </w:r>
          </w:p>
        </w:tc>
        <w:tc>
          <w:tcPr/>
          <w:p>
            <w:pPr>
              <w:pStyle w:val="Compact"/>
              <w:jc w:val="left"/>
            </w:pPr>
            <w:r>
              <w:t xml:space="preserve">One</w:t>
            </w:r>
            <w:r>
              <w:t xml:space="preserve"> </w:t>
            </w:r>
            <w:r>
              <w:rPr>
                <w:rStyle w:val="VerbatimChar"/>
              </w:rPr>
              <w:t xml:space="preserve">Coverage</w:t>
            </w:r>
            <w:r>
              <w:t xml:space="preserve"> </w:t>
            </w:r>
            <w:r>
              <w:t xml:space="preserve">per plan;</w:t>
            </w:r>
            <w:r>
              <w:t xml:space="preserve"> </w:t>
            </w:r>
            <w:r>
              <w:rPr>
                <w:rStyle w:val="VerbatimChar"/>
              </w:rPr>
              <w:t xml:space="preserve">Coverage.order</w:t>
            </w:r>
            <w:r>
              <w:t xml:space="preserve"> </w:t>
            </w:r>
            <w:r>
              <w:t xml:space="preserve">sets billing sequence. Secondary submits after the primary remittance posts (</w:t>
            </w:r>
            <w:hyperlink w:anchor="X746a8460f386e4026b0dff6ec24346f15027834">
              <w:r>
                <w:rPr>
                  <w:rStyle w:val="Hyperlink"/>
                </w:rPr>
                <w:t xml:space="preserve">Responses and posting</w:t>
              </w:r>
            </w:hyperlink>
            <w:r>
              <w:t xml:space="preserve">).</w:t>
            </w:r>
          </w:p>
        </w:tc>
      </w:tr>
      <w:tr>
        <w:trPr>
          <w:cantSplit/>
        </w:trPr>
        <w:tc>
          <w:tcPr/>
          <w:p>
            <w:pPr>
              <w:pStyle w:val="Compact"/>
              <w:jc w:val="left"/>
            </w:pPr>
            <w:r>
              <w:t xml:space="preserve">Subscriber ≠ patient</w:t>
            </w:r>
          </w:p>
        </w:tc>
        <w:tc>
          <w:tcPr/>
          <w:p>
            <w:pPr>
              <w:pStyle w:val="Compact"/>
              <w:jc w:val="left"/>
            </w:pPr>
            <w:r>
              <w:rPr>
                <w:rStyle w:val="VerbatimChar"/>
              </w:rPr>
              <w:t xml:space="preserve">Coverage</w:t>
            </w:r>
            <w:r>
              <w:t xml:space="preserve"> </w:t>
            </w:r>
            <w:r>
              <w:t xml:space="preserve">+</w:t>
            </w:r>
            <w:r>
              <w:t xml:space="preserve"> </w:t>
            </w:r>
            <w:r>
              <w:rPr>
                <w:rStyle w:val="VerbatimChar"/>
              </w:rPr>
              <w:t xml:space="preserve">RelatedPerson</w:t>
            </w:r>
            <w:r>
              <w:t xml:space="preserve"> </w:t>
            </w:r>
            <w:r>
              <w:t xml:space="preserve">for the subscriber. The relationship inverts:</w:t>
            </w:r>
            <w:r>
              <w:t xml:space="preserve"> </w:t>
            </w:r>
            <w:r>
              <w:rPr>
                <w:rStyle w:val="VerbatimChar"/>
              </w:rPr>
              <w:t xml:space="preserve">Coverage.relationship</w:t>
            </w:r>
            <w:r>
              <w:t xml:space="preserve"> </w:t>
            </w:r>
            <w:r>
              <w:t xml:space="preserve">is the patient’s relationship to the subscriber, the</w:t>
            </w:r>
            <w:r>
              <w:t xml:space="preserve"> </w:t>
            </w:r>
            <w:r>
              <w:rPr>
                <w:rStyle w:val="VerbatimChar"/>
              </w:rPr>
              <w:t xml:space="preserve">RelatedPerson</w:t>
            </w:r>
            <w:r>
              <w:t xml:space="preserve">’s is the reverse (coverage</w:t>
            </w:r>
            <w:r>
              <w:t xml:space="preserve"> </w:t>
            </w:r>
            <w:r>
              <w:rPr>
                <w:rStyle w:val="VerbatimChar"/>
              </w:rPr>
              <w:t xml:space="preserve">child</w:t>
            </w:r>
            <w:r>
              <w:t xml:space="preserve"> </w:t>
            </w:r>
            <w:r>
              <w:t xml:space="preserve">→ related person</w:t>
            </w:r>
            <w:r>
              <w:t xml:space="preserve"> </w:t>
            </w:r>
            <w:r>
              <w:rPr>
                <w:rStyle w:val="VerbatimChar"/>
              </w:rPr>
              <w:t xml:space="preserve">parent</w:t>
            </w:r>
            <w:r>
              <w:t xml:space="preserve">). Getting this backwards is a common billing bug.</w:t>
            </w:r>
          </w:p>
        </w:tc>
      </w:tr>
      <w:tr>
        <w:trPr>
          <w:cantSplit/>
        </w:trPr>
        <w:tc>
          <w:tcPr/>
          <w:p>
            <w:pPr>
              <w:pStyle w:val="Compact"/>
              <w:jc w:val="left"/>
            </w:pPr>
            <w:r>
              <w:t xml:space="preserve">Member ID &amp; plan details</w:t>
            </w:r>
          </w:p>
        </w:tc>
        <w:tc>
          <w:tcPr/>
          <w:p>
            <w:pPr>
              <w:pStyle w:val="Compact"/>
              <w:jc w:val="left"/>
            </w:pPr>
            <w:r>
              <w:rPr>
                <w:rStyle w:val="VerbatimChar"/>
              </w:rPr>
              <w:t xml:space="preserve">Coverage.subscriberId</w:t>
            </w:r>
            <w:r>
              <w:t xml:space="preserve"> </w:t>
            </w:r>
            <w:r>
              <w:t xml:space="preserve">for member ID;</w:t>
            </w:r>
            <w:r>
              <w:t xml:space="preserve"> </w:t>
            </w:r>
            <w:r>
              <w:rPr>
                <w:rStyle w:val="VerbatimChar"/>
              </w:rPr>
              <w:t xml:space="preserve">Coverage.class</w:t>
            </w:r>
            <w:r>
              <w:t xml:space="preserve"> </w:t>
            </w:r>
            <w:r>
              <w:t xml:space="preserve">for group, plan name, RxBIN/RxPCN.</w:t>
            </w:r>
          </w:p>
        </w:tc>
      </w:tr>
      <w:tr>
        <w:trPr>
          <w:cantSplit/>
        </w:trPr>
        <w:tc>
          <w:tcPr/>
          <w:p>
            <w:pPr>
              <w:pStyle w:val="Compact"/>
              <w:jc w:val="left"/>
            </w:pPr>
            <w:r>
              <w:t xml:space="preserve">Cost-sharing</w:t>
            </w:r>
          </w:p>
        </w:tc>
        <w:tc>
          <w:tcPr/>
          <w:p>
            <w:pPr>
              <w:pStyle w:val="Compact"/>
              <w:jc w:val="left"/>
            </w:pPr>
            <w:r>
              <w:rPr>
                <w:rStyle w:val="VerbatimChar"/>
              </w:rPr>
              <w:t xml:space="preserve">Coverage.costToBeneficiary</w:t>
            </w:r>
            <w:r>
              <w:t xml:space="preserve">; feeds estimates (</w:t>
            </w:r>
            <w:hyperlink w:anchor="Xdc57564cbfbb5c5cbfe49c73594acfa8c57b04a">
              <w:r>
                <w:rPr>
                  <w:rStyle w:val="Hyperlink"/>
                </w:rPr>
                <w:t xml:space="preserve">Authorization and estimates</w:t>
              </w:r>
            </w:hyperlink>
            <w:r>
              <w:t xml:space="preserve">) and patient responsibility (</w:t>
            </w:r>
            <w:hyperlink w:anchor="how-will-patients-be-billed">
              <w:r>
                <w:rPr>
                  <w:rStyle w:val="Hyperlink"/>
                </w:rPr>
                <w:t xml:space="preserve">Patient billing</w:t>
              </w:r>
            </w:hyperlink>
            <w:r>
              <w:t xml:space="preserve">).</w:t>
            </w:r>
          </w:p>
        </w:tc>
      </w:tr>
      <w:tr>
        <w:trPr>
          <w:cantSplit/>
        </w:trPr>
        <w:tc>
          <w:tcPr/>
          <w:p>
            <w:pPr>
              <w:pStyle w:val="Compact"/>
              <w:jc w:val="left"/>
            </w:pPr>
            <w:r>
              <w:t xml:space="preserve">Payer directory</w:t>
            </w:r>
          </w:p>
        </w:tc>
        <w:tc>
          <w:tcPr/>
          <w:p>
            <w:pPr>
              <w:pStyle w:val="Compact"/>
              <w:jc w:val="left"/>
            </w:pPr>
            <w:r>
              <w:t xml:space="preserve">Medplum ships a built-in</w:t>
            </w:r>
            <w:r>
              <w:t xml:space="preserve"> </w:t>
            </w:r>
            <w:r>
              <w:rPr>
                <w:b/>
                <w:bCs/>
              </w:rPr>
              <w:t xml:space="preserve">Payer Directory</w:t>
            </w:r>
            <w:r>
              <w:t xml:space="preserve"> </w:t>
            </w:r>
            <w:r>
              <w:t xml:space="preserve">of</w:t>
            </w:r>
            <w:r>
              <w:t xml:space="preserve"> </w:t>
            </w:r>
            <w:r>
              <w:rPr>
                <w:rStyle w:val="VerbatimChar"/>
              </w:rPr>
              <w:t xml:space="preserve">Organization</w:t>
            </w:r>
            <w:r>
              <w:t xml:space="preserve">s, or curate your own. Verify the identifier system for each eligibility and claim-submission route; they may differ even for the same partner.</w:t>
            </w:r>
          </w:p>
        </w:tc>
      </w:tr>
      <w:tr>
        <w:trPr>
          <w:cantSplit/>
        </w:trPr>
        <w:tc>
          <w:tcPr/>
          <w:p>
            <w:pPr>
              <w:pStyle w:val="Compact"/>
              <w:jc w:val="left"/>
            </w:pPr>
            <w:r>
              <w:t xml:space="preserve">Card images</w:t>
            </w:r>
          </w:p>
        </w:tc>
        <w:tc>
          <w:tcPr/>
          <w:p>
            <w:pPr>
              <w:pStyle w:val="Compact"/>
              <w:jc w:val="left"/>
            </w:pPr>
            <w:r>
              <w:t xml:space="preserve">Store as</w:t>
            </w:r>
            <w:r>
              <w:t xml:space="preserve"> </w:t>
            </w:r>
            <w:r>
              <w:rPr>
                <w:rStyle w:val="VerbatimChar"/>
              </w:rPr>
              <w:t xml:space="preserve">DocumentReference</w:t>
            </w:r>
            <w:r>
              <w:t xml:space="preserve">/</w:t>
            </w:r>
            <w:r>
              <w:rPr>
                <w:rStyle w:val="VerbatimChar"/>
              </w:rPr>
              <w:t xml:space="preserve">Binary</w:t>
            </w:r>
            <w:r>
              <w:t xml:space="preserve"> </w:t>
            </w:r>
            <w:r>
              <w:t xml:space="preserve">linked to the</w:t>
            </w:r>
            <w:r>
              <w:t xml:space="preserve"> </w:t>
            </w:r>
            <w:r>
              <w:rPr>
                <w:rStyle w:val="VerbatimChar"/>
              </w:rPr>
              <w:t xml:space="preserve">Coverage</w:t>
            </w:r>
            <w:r>
              <w:t xml:space="preserve">.</w:t>
            </w:r>
          </w:p>
        </w:tc>
      </w:tr>
    </w:tbl>
    <w:bookmarkStart w:id="36" w:name="X235a04b9c065ed947a11aee094f2aa6664c4a83"/>
    <w:bookmarkEnd w:id="36"/>
    <w:bookmarkStart w:id="37" w:name="X722c22f84b4974226522943f006cc9fdf7040ba"/>
    <w:bookmarkEnd w:id="37"/>
    <w:bookmarkEnd w:id="38"/>
    <w:bookmarkStart w:id="41" w:name="X84d27e546a844b13b2da6fb283b1c564dbc85a9"/>
    <w:p>
      <w:pPr>
        <w:pStyle w:val="Heading3"/>
      </w:pPr>
      <w:r>
        <w:t xml:space="preserve">Does the application need an account and financial ledger?</w:t>
      </w:r>
    </w:p>
    <w:p>
      <w:pPr>
        <w:pStyle w:val="FirstParagraph"/>
      </w:pPr>
      <w:r>
        <w:t xml:space="preserve">Decide whether you track a patient financial account that rolls charges, claims, and payments into a balance (the backbone for AR in</w:t>
      </w:r>
      <w:r>
        <w:t xml:space="preserve"> </w:t>
      </w:r>
      <w:hyperlink w:anchor="X3429ee957dacc59b7a0ff7e79e7186185b7175c">
        <w:r>
          <w:rPr>
            <w:rStyle w:val="Hyperlink"/>
          </w:rPr>
          <w:t xml:space="preserve">AR and reporting</w:t>
        </w:r>
      </w:hyperlink>
      <w:r>
        <w:t xml:space="preserve"> </w:t>
      </w:r>
      <w:r>
        <w:t xml:space="preserve">and patient billing in</w:t>
      </w:r>
      <w:r>
        <w:t xml:space="preserve"> </w:t>
      </w:r>
      <w:hyperlink w:anchor="how-will-patients-be-billed">
        <w:r>
          <w:rPr>
            <w:rStyle w:val="Hyperlink"/>
          </w:rPr>
          <w:t xml:space="preserve">Patient billing</w:t>
        </w:r>
      </w:hyperlink>
      <w:r>
        <w:t xml:space="preserve">), or let each charge stand alone.</w:t>
      </w:r>
    </w:p>
    <w:p>
      <w:pPr>
        <w:pStyle w:val="BodyText"/>
      </w:pPr>
      <w:r>
        <w:t xml:space="preserve">FHIR R4 supplies account and billing resources, but an Account is not a computed ledger. Choose the posting model, claim-to-account association, reversals, and reconciliation rules explicitly; these are application responsibilities.</w:t>
      </w:r>
    </w:p>
    <w:p>
      <w:pPr>
        <w:pStyle w:val="BodyText"/>
      </w:pPr>
      <w:r>
        <w:rPr>
          <w:b/>
          <w:bCs/>
        </w:rPr>
        <w:t xml:space="preserve">Questions:</w:t>
      </w:r>
    </w:p>
    <w:p>
      <w:pPr>
        <w:pStyle w:val="Compact"/>
        <w:numPr>
          <w:ilvl w:val="0"/>
          <w:numId w:val="1008"/>
        </w:numPr>
      </w:pPr>
      <w:r>
        <w:t xml:space="preserve">Do you need a single balance rolling up charges, payer payments, adjustments, and patient payments?</w:t>
      </w:r>
    </w:p>
    <w:p>
      <w:pPr>
        <w:pStyle w:val="Compact"/>
        <w:numPr>
          <w:ilvl w:val="0"/>
          <w:numId w:val="1008"/>
        </w:numPr>
      </w:pPr>
      <w:r>
        <w:t xml:space="preserve">Is the account scoped per patient, per visit, or per episode?</w:t>
      </w:r>
    </w:p>
    <w:p>
      <w:pPr>
        <w:pStyle w:val="Compact"/>
        <w:numPr>
          <w:ilvl w:val="0"/>
          <w:numId w:val="1008"/>
        </w:numPr>
      </w:pPr>
      <w:r>
        <w:t xml:space="preserve">Do you track payer and patient responsibility separately on the same account?</w:t>
      </w:r>
    </w:p>
    <w:p>
      <w:pPr>
        <w:pStyle w:val="Compact"/>
        <w:numPr>
          <w:ilvl w:val="0"/>
          <w:numId w:val="1008"/>
        </w:numPr>
      </w:pPr>
      <w:r>
        <w:t xml:space="preserve">Must the account reconcile against an external accounting/GL system?</w:t>
      </w:r>
    </w:p>
    <w:tbl>
      <w:tblPr>
        <w:tblStyle w:val="Table"/>
        <w:tblW w:w="9360" w:type="dxa"/>
        <w:tblLayout w:type="fixed"/>
        <w:tblLook w:firstRow="1" w:lastRow="0" w:firstColumn="0" w:lastColumn="0" w:noHBand="0" w:noVBand="0" w:val="0020"/>
      </w:tblPr>
      <w:tblGrid>
        <w:gridCol w:w="3474"/>
        <w:gridCol w:w="5886"/>
      </w:tblGrid>
      <w:tr>
        <w:trPr>
          <w:cantSplit/>
          <w:tblHeader w:val="on"/>
        </w:trPr>
        <w:tc>
          <w:tcPr/>
          <w:p>
            <w:pPr>
              <w:pStyle w:val="Compact"/>
              <w:jc w:val="left"/>
            </w:pPr>
            <w:r>
              <w:t xml:space="preserve">Situation</w:t>
            </w:r>
          </w:p>
        </w:tc>
        <w:tc>
          <w:tcPr/>
          <w:p>
            <w:pPr>
              <w:pStyle w:val="Compact"/>
              <w:jc w:val="left"/>
            </w:pPr>
            <w:r>
              <w:t xml:space="preserve">Approach</w:t>
            </w:r>
          </w:p>
        </w:tc>
      </w:tr>
      <w:tr>
        <w:trPr>
          <w:cantSplit/>
        </w:trPr>
        <w:tc>
          <w:tcPr/>
          <w:p>
            <w:pPr>
              <w:pStyle w:val="Compact"/>
              <w:jc w:val="left"/>
            </w:pPr>
            <w:r>
              <w:t xml:space="preserve">Account links</w:t>
            </w:r>
          </w:p>
        </w:tc>
        <w:tc>
          <w:tcPr/>
          <w:p>
            <w:pPr>
              <w:pStyle w:val="Compact"/>
              <w:jc w:val="left"/>
            </w:pPr>
            <w:r>
              <w:t xml:space="preserve">Use</w:t>
            </w:r>
            <w:r>
              <w:t xml:space="preserve"> </w:t>
            </w:r>
            <w:r>
              <w:rPr>
                <w:rStyle w:val="VerbatimChar"/>
              </w:rPr>
              <w:t xml:space="preserve">ChargeItem.account</w:t>
            </w:r>
            <w:r>
              <w:t xml:space="preserve">,</w:t>
            </w:r>
            <w:r>
              <w:t xml:space="preserve"> </w:t>
            </w:r>
            <w:r>
              <w:rPr>
                <w:rStyle w:val="VerbatimChar"/>
              </w:rPr>
              <w:t xml:space="preserve">Invoice.account</w:t>
            </w:r>
            <w:r>
              <w:t xml:space="preserve">, and</w:t>
            </w:r>
            <w:r>
              <w:t xml:space="preserve"> </w:t>
            </w:r>
            <w:r>
              <w:rPr>
                <w:rStyle w:val="VerbatimChar"/>
              </w:rPr>
              <w:t xml:space="preserve">Encounter.account</w:t>
            </w:r>
            <w:r>
              <w:t xml:space="preserve"> </w:t>
            </w:r>
            <w:r>
              <w:t xml:space="preserve">to reference an Account. R4 Claim and PaymentReconciliation have no dedicated</w:t>
            </w:r>
            <w:r>
              <w:t xml:space="preserve"> </w:t>
            </w:r>
            <w:r>
              <w:rPr>
                <w:rStyle w:val="VerbatimChar"/>
              </w:rPr>
              <w:t xml:space="preserve">account</w:t>
            </w:r>
            <w:r>
              <w:t xml:space="preserve"> </w:t>
            </w:r>
            <w:r>
              <w:t xml:space="preserve">element</w:t>
            </w:r>
          </w:p>
        </w:tc>
      </w:tr>
      <w:tr>
        <w:trPr>
          <w:cantSplit/>
        </w:trPr>
        <w:tc>
          <w:tcPr/>
          <w:p>
            <w:pPr>
              <w:pStyle w:val="Compact"/>
              <w:jc w:val="left"/>
            </w:pPr>
            <w:r>
              <w:t xml:space="preserve">Account scope</w:t>
            </w:r>
          </w:p>
        </w:tc>
        <w:tc>
          <w:tcPr/>
          <w:p>
            <w:pPr>
              <w:pStyle w:val="Compact"/>
              <w:jc w:val="left"/>
            </w:pPr>
            <w:r>
              <w:t xml:space="preserve">Set</w:t>
            </w:r>
            <w:r>
              <w:t xml:space="preserve"> </w:t>
            </w:r>
            <w:r>
              <w:rPr>
                <w:rStyle w:val="VerbatimChar"/>
              </w:rPr>
              <w:t xml:space="preserve">Account.subject</w:t>
            </w:r>
            <w:r>
              <w:t xml:space="preserve"> </w:t>
            </w:r>
            <w:r>
              <w:t xml:space="preserve">to the Patient. For a visit account, link it from</w:t>
            </w:r>
            <w:r>
              <w:t xml:space="preserve"> </w:t>
            </w:r>
            <w:r>
              <w:rPr>
                <w:rStyle w:val="VerbatimChar"/>
              </w:rPr>
              <w:t xml:space="preserve">Encounter.account</w:t>
            </w:r>
            <w:r>
              <w:t xml:space="preserve">; Account.subject does not reference Encounter</w:t>
            </w:r>
          </w:p>
        </w:tc>
      </w:tr>
      <w:tr>
        <w:trPr>
          <w:cantSplit/>
        </w:trPr>
        <w:tc>
          <w:tcPr/>
          <w:p>
            <w:pPr>
              <w:pStyle w:val="Compact"/>
              <w:jc w:val="left"/>
            </w:pPr>
            <w:r>
              <w:t xml:space="preserve">Claims and remittances</w:t>
            </w:r>
          </w:p>
        </w:tc>
        <w:tc>
          <w:tcPr/>
          <w:p>
            <w:pPr>
              <w:pStyle w:val="Compact"/>
              <w:jc w:val="left"/>
            </w:pPr>
            <w:r>
              <w:t xml:space="preserve">Define an explicit claim-to-account association in your application model.</w:t>
            </w:r>
            <w:r>
              <w:t xml:space="preserve"> </w:t>
            </w:r>
            <w:r>
              <w:rPr>
                <w:rStyle w:val="VerbatimChar"/>
              </w:rPr>
              <w:t xml:space="preserve">ClaimResponse.request</w:t>
            </w:r>
            <w:r>
              <w:t xml:space="preserve"> </w:t>
            </w:r>
            <w:r>
              <w:t xml:space="preserve">links to Claim;</w:t>
            </w:r>
            <w:r>
              <w:t xml:space="preserve"> </w:t>
            </w:r>
            <w:r>
              <w:rPr>
                <w:rStyle w:val="VerbatimChar"/>
              </w:rPr>
              <w:t xml:space="preserve">PaymentReconciliation.detail.request</w:t>
            </w:r>
            <w:r>
              <w:t xml:space="preserve"> </w:t>
            </w:r>
            <w:r>
              <w:t xml:space="preserve">and</w:t>
            </w:r>
            <w:r>
              <w:t xml:space="preserve"> </w:t>
            </w:r>
            <w:r>
              <w:rPr>
                <w:rStyle w:val="VerbatimChar"/>
              </w:rPr>
              <w:t xml:space="preserve">.response</w:t>
            </w:r>
            <w:r>
              <w:t xml:space="preserve"> </w:t>
            </w:r>
            <w:r>
              <w:t xml:space="preserve">can identify the related request and response. These links do not post money</w:t>
            </w:r>
          </w:p>
        </w:tc>
      </w:tr>
      <w:tr>
        <w:trPr>
          <w:cantSplit/>
        </w:trPr>
        <w:tc>
          <w:tcPr/>
          <w:p>
            <w:pPr>
              <w:pStyle w:val="Compact"/>
              <w:jc w:val="left"/>
            </w:pPr>
            <w:r>
              <w:t xml:space="preserve">Running balance</w:t>
            </w:r>
          </w:p>
        </w:tc>
        <w:tc>
          <w:tcPr/>
          <w:p>
            <w:pPr>
              <w:pStyle w:val="Compact"/>
              <w:jc w:val="left"/>
            </w:pPr>
            <w:r>
              <w:t xml:space="preserve">Calculate charges, payments, adjustments, and reversals from uniquely identified postings. R4 Account has no</w:t>
            </w:r>
            <w:r>
              <w:t xml:space="preserve"> </w:t>
            </w:r>
            <w:r>
              <w:rPr>
                <w:rStyle w:val="VerbatimChar"/>
              </w:rPr>
              <w:t xml:space="preserve">balance</w:t>
            </w:r>
            <w:r>
              <w:t xml:space="preserve"> </w:t>
            </w:r>
            <w:r>
              <w:t xml:space="preserve">field; decide where the postings and calculated totals live</w:t>
            </w:r>
          </w:p>
        </w:tc>
      </w:tr>
      <w:tr>
        <w:trPr>
          <w:cantSplit/>
        </w:trPr>
        <w:tc>
          <w:tcPr/>
          <w:p>
            <w:pPr>
              <w:pStyle w:val="Compact"/>
              <w:jc w:val="left"/>
            </w:pPr>
            <w:r>
              <w:t xml:space="preserve">Payer vs. patient</w:t>
            </w:r>
          </w:p>
        </w:tc>
        <w:tc>
          <w:tcPr/>
          <w:p>
            <w:pPr>
              <w:pStyle w:val="Compact"/>
              <w:jc w:val="left"/>
            </w:pPr>
            <w:r>
              <w:t xml:space="preserve">Track responsibility allocations without counting the same charge again when creating a patient Invoice. Decide whether Medplum or the partner owns each balance</w:t>
            </w:r>
          </w:p>
        </w:tc>
      </w:tr>
      <w:tr>
        <w:trPr>
          <w:cantSplit/>
        </w:trPr>
        <w:tc>
          <w:tcPr/>
          <w:p>
            <w:pPr>
              <w:pStyle w:val="Compact"/>
              <w:jc w:val="left"/>
            </w:pPr>
            <w:r>
              <w:t xml:space="preserve">No ledger</w:t>
            </w:r>
          </w:p>
        </w:tc>
        <w:tc>
          <w:tcPr/>
          <w:p>
            <w:pPr>
              <w:pStyle w:val="Compact"/>
              <w:jc w:val="left"/>
            </w:pPr>
            <w:r>
              <w:t xml:space="preserve">Skip</w:t>
            </w:r>
            <w:r>
              <w:t xml:space="preserve"> </w:t>
            </w:r>
            <w:r>
              <w:rPr>
                <w:rStyle w:val="VerbatimChar"/>
              </w:rPr>
              <w:t xml:space="preserve">Account</w:t>
            </w:r>
            <w:r>
              <w:t xml:space="preserve"> </w:t>
            </w:r>
            <w:r>
              <w:t xml:space="preserve">for pure pass-through submission where another system owns the balance, but you lose in-Medplum AR (</w:t>
            </w:r>
            <w:hyperlink w:anchor="X3429ee957dacc59b7a0ff7e79e7186185b7175c">
              <w:r>
                <w:rPr>
                  <w:rStyle w:val="Hyperlink"/>
                </w:rPr>
                <w:t xml:space="preserve">AR and reporting</w:t>
              </w:r>
            </w:hyperlink>
            <w:r>
              <w:t xml:space="preserve">).</w:t>
            </w:r>
          </w:p>
        </w:tc>
      </w:tr>
    </w:tbl>
    <w:p>
      <w:pPr>
        <w:pStyle w:val="BodyText"/>
      </w:pPr>
      <w:r>
        <w:t xml:space="preserve">For example, a visit can have</w:t>
      </w:r>
      <w:r>
        <w:t xml:space="preserve"> </w:t>
      </w:r>
      <w:r>
        <w:rPr>
          <w:rStyle w:val="VerbatimChar"/>
        </w:rPr>
        <w:t xml:space="preserve">Account.subject → Patient</w:t>
      </w:r>
      <w:r>
        <w:t xml:space="preserve">,</w:t>
      </w:r>
      <w:r>
        <w:t xml:space="preserve"> </w:t>
      </w:r>
      <w:r>
        <w:rPr>
          <w:rStyle w:val="VerbatimChar"/>
        </w:rPr>
        <w:t xml:space="preserve">Encounter.account → Account</w:t>
      </w:r>
      <w:r>
        <w:t xml:space="preserve">, and</w:t>
      </w:r>
      <w:r>
        <w:t xml:space="preserve"> </w:t>
      </w:r>
      <w:r>
        <w:rPr>
          <w:rStyle w:val="VerbatimChar"/>
        </w:rPr>
        <w:t xml:space="preserve">ChargeItem.account → Account</w:t>
      </w:r>
      <w:r>
        <w:t xml:space="preserve">. A patient Invoice can use</w:t>
      </w:r>
      <w:r>
        <w:t xml:space="preserve"> </w:t>
      </w:r>
      <w:r>
        <w:rPr>
          <w:rStyle w:val="VerbatimChar"/>
        </w:rPr>
        <w:t xml:space="preserve">Invoice.account → Account</w:t>
      </w:r>
      <w:r>
        <w:t xml:space="preserve"> </w:t>
      </w:r>
      <w:r>
        <w:t xml:space="preserve">and</w:t>
      </w:r>
      <w:r>
        <w:t xml:space="preserve"> </w:t>
      </w:r>
      <w:r>
        <w:rPr>
          <w:rStyle w:val="VerbatimChar"/>
        </w:rPr>
        <w:t xml:space="preserve">Invoice.lineItem.chargeItemReference → ChargeItem</w:t>
      </w:r>
      <w:r>
        <w:t xml:space="preserve">. Associate the submitted Claim with that account separately, and record each applied remittance/payment once. The resource links support reconciliation; creating these resources alone does not calculate a balance.</w:t>
      </w:r>
    </w:p>
    <w:bookmarkStart w:id="39" w:name="decision-2"/>
    <w:bookmarkEnd w:id="39"/>
    <w:bookmarkStart w:id="40" w:name="X2aafb98666641cc27e524c32969cbc5d6b1472b"/>
    <w:bookmarkEnd w:id="40"/>
    <w:bookmarkEnd w:id="41"/>
    <w:bookmarkEnd w:id="42"/>
    <w:bookmarkStart w:id="56" w:name="checks-before-service"/>
    <w:p>
      <w:pPr>
        <w:pStyle w:val="Heading2"/>
      </w:pPr>
      <w:r>
        <w:t xml:space="preserve">Checks before service</w:t>
      </w:r>
    </w:p>
    <w:bookmarkStart w:id="43" w:name="pre-service--patient-access"/>
    <w:bookmarkEnd w:id="43"/>
    <w:bookmarkStart w:id="44" w:name="X92b2a3d5a513a824b3162e588650131d423b405"/>
    <w:bookmarkEnd w:id="44"/>
    <w:bookmarkStart w:id="45" w:name="Xbdc98d8f893c001a4f13c5ad0adc312032f5fc4"/>
    <w:bookmarkEnd w:id="45"/>
    <w:bookmarkStart w:id="50" w:name="Xbbea4be3b12bcb46aa01fce35ffdab8eaefa4f3"/>
    <w:p>
      <w:pPr>
        <w:pStyle w:val="Heading3"/>
      </w:pPr>
      <w:r>
        <w:t xml:space="preserve">What eligibility and benefit evidence is required, and when?</w:t>
      </w:r>
    </w:p>
    <w:p>
      <w:pPr>
        <w:pStyle w:val="FirstParagraph"/>
      </w:pPr>
      <w:r>
        <w:t xml:space="preserve">Decide whether you verify coverage before service, what you ask the payer, and when the check runs. See</w:t>
      </w:r>
      <w:r>
        <w:t xml:space="preserve"> </w:t>
      </w:r>
      <w:hyperlink r:id="rId46">
        <w:r>
          <w:rPr>
            <w:rStyle w:val="Hyperlink"/>
          </w:rPr>
          <w:t xml:space="preserve">Insurance Eligibility Checks</w:t>
        </w:r>
      </w:hyperlink>
      <w:r>
        <w:t xml:space="preserve">.</w:t>
      </w:r>
    </w:p>
    <w:p>
      <w:pPr>
        <w:pStyle w:val="BodyText"/>
      </w:pPr>
      <w:r>
        <w:t xml:space="preserve">Choose whether eligibility runs through your clearinghouse, RCM partner, or a separate integration, including whether real-time X12 270/271 exchange is needed. Confirm supported service types, payer routing identifiers, and how responses map to CoverageEligibilityResponse resources. See</w:t>
      </w:r>
      <w:r>
        <w:t xml:space="preserve"> </w:t>
      </w:r>
      <w:hyperlink w:anchor="related-integrations">
        <w:r>
          <w:rPr>
            <w:rStyle w:val="Hyperlink"/>
          </w:rPr>
          <w:t xml:space="preserve">Related Integrations</w:t>
        </w:r>
      </w:hyperlink>
      <w:r>
        <w:t xml:space="preserve"> </w:t>
      </w:r>
      <w:r>
        <w:t xml:space="preserve">for the available first-party routes.</w:t>
      </w:r>
    </w:p>
    <w:p>
      <w:pPr>
        <w:pStyle w:val="BodyText"/>
      </w:pPr>
      <w:r>
        <w:rPr>
          <w:b/>
          <w:bCs/>
        </w:rPr>
        <w:t xml:space="preserve">Questions:</w:t>
      </w:r>
    </w:p>
    <w:p>
      <w:pPr>
        <w:pStyle w:val="Compact"/>
        <w:numPr>
          <w:ilvl w:val="0"/>
          <w:numId w:val="1009"/>
        </w:numPr>
      </w:pPr>
      <w:r>
        <w:t xml:space="preserve">What must you confirm: active coverage, covered service, in-network status, or benefit/cost detail?</w:t>
      </w:r>
    </w:p>
    <w:p>
      <w:pPr>
        <w:pStyle w:val="Compact"/>
        <w:numPr>
          <w:ilvl w:val="0"/>
          <w:numId w:val="1009"/>
        </w:numPr>
      </w:pPr>
      <w:r>
        <w:t xml:space="preserve">When does the check run: scheduling, check-in, or batch pre-visit?</w:t>
      </w:r>
    </w:p>
    <w:p>
      <w:pPr>
        <w:pStyle w:val="Compact"/>
        <w:numPr>
          <w:ilvl w:val="0"/>
          <w:numId w:val="1009"/>
        </w:numPr>
      </w:pPr>
      <w:r>
        <w:t xml:space="preserve">Do you re-check on a cadence for ongoing patients?</w:t>
      </w:r>
    </w:p>
    <w:p>
      <w:pPr>
        <w:pStyle w:val="Compact"/>
        <w:numPr>
          <w:ilvl w:val="0"/>
          <w:numId w:val="1009"/>
        </w:numPr>
      </w:pPr>
      <w:r>
        <w:t xml:space="preserve">Who works failed or ambiguous checks?</w:t>
      </w:r>
    </w:p>
    <w:tbl>
      <w:tblPr>
        <w:tblStyle w:val="Table"/>
        <w:tblW w:w="9360" w:type="dxa"/>
        <w:tblLayout w:type="fixed"/>
        <w:tblLook w:firstRow="1" w:lastRow="0" w:firstColumn="0" w:lastColumn="0" w:noHBand="0" w:noVBand="0" w:val="0020"/>
      </w:tblPr>
      <w:tblGrid>
        <w:gridCol w:w="3435"/>
        <w:gridCol w:w="5925"/>
      </w:tblGrid>
      <w:tr>
        <w:trPr>
          <w:cantSplit/>
          <w:tblHeader w:val="on"/>
        </w:trPr>
        <w:tc>
          <w:tcPr/>
          <w:p>
            <w:pPr>
              <w:pStyle w:val="Compact"/>
              <w:jc w:val="left"/>
            </w:pPr>
            <w:r>
              <w:t xml:space="preserve">Situation</w:t>
            </w:r>
          </w:p>
        </w:tc>
        <w:tc>
          <w:tcPr/>
          <w:p>
            <w:pPr>
              <w:pStyle w:val="Compact"/>
              <w:jc w:val="left"/>
            </w:pPr>
            <w:r>
              <w:t xml:space="preserve">Approach</w:t>
            </w:r>
          </w:p>
        </w:tc>
      </w:tr>
      <w:tr>
        <w:trPr>
          <w:cantSplit/>
        </w:trPr>
        <w:tc>
          <w:tcPr/>
          <w:p>
            <w:pPr>
              <w:pStyle w:val="Compact"/>
              <w:jc w:val="left"/>
            </w:pPr>
            <w:r>
              <w:t xml:space="preserve">Verify coverage / benefits</w:t>
            </w:r>
          </w:p>
        </w:tc>
        <w:tc>
          <w:tcPr/>
          <w:p>
            <w:pPr>
              <w:pStyle w:val="Compact"/>
              <w:jc w:val="left"/>
            </w:pPr>
            <w:r>
              <w:t xml:space="preserve">Create a</w:t>
            </w:r>
            <w:r>
              <w:t xml:space="preserve"> </w:t>
            </w:r>
            <w:r>
              <w:rPr>
                <w:rStyle w:val="VerbatimChar"/>
              </w:rPr>
              <w:t xml:space="preserve">CoverageEligibilityRequest</w:t>
            </w:r>
            <w:r>
              <w:t xml:space="preserve"> </w:t>
            </w:r>
            <w:r>
              <w:t xml:space="preserve">with</w:t>
            </w:r>
            <w:r>
              <w:t xml:space="preserve"> </w:t>
            </w:r>
            <w:r>
              <w:rPr>
                <w:rStyle w:val="VerbatimChar"/>
              </w:rPr>
              <w:t xml:space="preserve">purpose: benefits</w:t>
            </w:r>
            <w:r>
              <w:t xml:space="preserve"> </w:t>
            </w:r>
            <w:r>
              <w:t xml:space="preserve">and invoke the selected eligibility operation; retain the response and source evidence</w:t>
            </w:r>
          </w:p>
        </w:tc>
      </w:tr>
      <w:tr>
        <w:trPr>
          <w:cantSplit/>
        </w:trPr>
        <w:tc>
          <w:tcPr/>
          <w:p>
            <w:pPr>
              <w:pStyle w:val="Compact"/>
              <w:jc w:val="left"/>
            </w:pPr>
            <w:r>
              <w:t xml:space="preserve">Service-specific benefits</w:t>
            </w:r>
          </w:p>
        </w:tc>
        <w:tc>
          <w:tcPr/>
          <w:p>
            <w:pPr>
              <w:pStyle w:val="Compact"/>
              <w:jc w:val="left"/>
            </w:pPr>
            <w:r>
              <w:t xml:space="preserve">Request supported X12 service types through</w:t>
            </w:r>
            <w:r>
              <w:t xml:space="preserve"> </w:t>
            </w:r>
            <w:r>
              <w:rPr>
                <w:rStyle w:val="VerbatimChar"/>
              </w:rPr>
              <w:t xml:space="preserve">CoverageEligibilityRequest.item.category</w:t>
            </w:r>
            <w:r>
              <w:t xml:space="preserve">. A payer may still return general or incomplete benefits; define the fallback when the answer is insufficient</w:t>
            </w:r>
          </w:p>
        </w:tc>
      </w:tr>
      <w:tr>
        <w:trPr>
          <w:cantSplit/>
        </w:trPr>
        <w:tc>
          <w:tcPr/>
          <w:p>
            <w:pPr>
              <w:pStyle w:val="Compact"/>
              <w:jc w:val="left"/>
            </w:pPr>
            <w:r>
              <w:t xml:space="preserve">In-network check</w:t>
            </w:r>
          </w:p>
        </w:tc>
        <w:tc>
          <w:tcPr/>
          <w:p>
            <w:pPr>
              <w:pStyle w:val="Compact"/>
              <w:jc w:val="left"/>
            </w:pPr>
            <w:r>
              <w:t xml:space="preserve">Interpret the benefit-network indicator in context. It is not independent verification of the provider’s contract, location, or service; ambiguous cases need payer confirmation</w:t>
            </w:r>
          </w:p>
        </w:tc>
      </w:tr>
      <w:tr>
        <w:trPr>
          <w:cantSplit/>
        </w:trPr>
        <w:tc>
          <w:tcPr/>
          <w:p>
            <w:pPr>
              <w:pStyle w:val="Compact"/>
              <w:jc w:val="left"/>
            </w:pPr>
            <w:r>
              <w:t xml:space="preserve">Cost-sharing</w:t>
            </w:r>
          </w:p>
        </w:tc>
        <w:tc>
          <w:tcPr/>
          <w:p>
            <w:pPr>
              <w:pStyle w:val="Compact"/>
              <w:jc w:val="left"/>
            </w:pPr>
            <w:r>
              <w:t xml:space="preserve">Copay, coinsurance, remaining deductible, and out-of-pocket land in</w:t>
            </w:r>
            <w:r>
              <w:t xml:space="preserve"> </w:t>
            </w:r>
            <w:r>
              <w:rPr>
                <w:rStyle w:val="VerbatimChar"/>
              </w:rPr>
              <w:t xml:space="preserve">CoverageEligibilityResponse.insurance.item</w:t>
            </w:r>
            <w:r>
              <w:t xml:space="preserve">; the input to patient estimates (</w:t>
            </w:r>
            <w:hyperlink w:anchor="Xdc57564cbfbb5c5cbfe49c73594acfa8c57b04a">
              <w:r>
                <w:rPr>
                  <w:rStyle w:val="Hyperlink"/>
                </w:rPr>
                <w:t xml:space="preserve">Authorization and estimates</w:t>
              </w:r>
            </w:hyperlink>
            <w:r>
              <w:t xml:space="preserve">).</w:t>
            </w:r>
          </w:p>
        </w:tc>
      </w:tr>
      <w:tr>
        <w:trPr>
          <w:cantSplit/>
        </w:trPr>
        <w:tc>
          <w:tcPr/>
          <w:p>
            <w:pPr>
              <w:pStyle w:val="Compact"/>
              <w:jc w:val="left"/>
            </w:pPr>
            <w:r>
              <w:t xml:space="preserve">When it runs</w:t>
            </w:r>
          </w:p>
        </w:tc>
        <w:tc>
          <w:tcPr/>
          <w:p>
            <w:pPr>
              <w:pStyle w:val="Compact"/>
              <w:jc w:val="left"/>
            </w:pPr>
            <w:r>
              <w:t xml:space="preserve">A</w:t>
            </w:r>
            <w:r>
              <w:t xml:space="preserve"> </w:t>
            </w:r>
            <w:r>
              <w:rPr>
                <w:rStyle w:val="VerbatimChar"/>
              </w:rPr>
              <w:t xml:space="preserve">Bot</w:t>
            </w:r>
            <w:r>
              <w:t xml:space="preserve"> </w:t>
            </w:r>
            <w:r>
              <w:t xml:space="preserve">issues the request on the triggering event; persist the response for the visit and billing.</w:t>
            </w:r>
          </w:p>
        </w:tc>
      </w:tr>
      <w:tr>
        <w:trPr>
          <w:cantSplit/>
        </w:trPr>
        <w:tc>
          <w:tcPr/>
          <w:p>
            <w:pPr>
              <w:pStyle w:val="Compact"/>
              <w:jc w:val="left"/>
            </w:pPr>
            <w:r>
              <w:t xml:space="preserve">Exception</w:t>
            </w:r>
          </w:p>
        </w:tc>
        <w:tc>
          <w:tcPr/>
          <w:p>
            <w:pPr>
              <w:pStyle w:val="Compact"/>
              <w:jc w:val="left"/>
            </w:pPr>
            <w:r>
              <w:t xml:space="preserve">On failure or ambiguity, create a</w:t>
            </w:r>
            <w:r>
              <w:t xml:space="preserve"> </w:t>
            </w:r>
            <w:r>
              <w:rPr>
                <w:rStyle w:val="VerbatimChar"/>
              </w:rPr>
              <w:t xml:space="preserve">Task</w:t>
            </w:r>
            <w:r>
              <w:t xml:space="preserve"> </w:t>
            </w:r>
            <w:r>
              <w:t xml:space="preserve">for registration rather than proceeding silently.</w:t>
            </w:r>
          </w:p>
        </w:tc>
      </w:tr>
    </w:tbl>
    <w:p>
      <w:pPr>
        <w:pStyle w:val="BodyText"/>
      </w:pPr>
      <w:r>
        <w:rPr>
          <w:rStyle w:val="VerbatimChar"/>
        </w:rPr>
        <w:t xml:space="preserve">CoverageEligibilityResponse.outcome = complete</w:t>
      </w:r>
      <w:r>
        <w:t xml:space="preserve"> </w:t>
      </w:r>
      <w:r>
        <w:t xml:space="preserve">means processing completed without reported errors. It does not establish coverage for every service, network participation, or prior-authorization approval. Use the evidence and exception-handling approach in the</w:t>
      </w:r>
      <w:r>
        <w:t xml:space="preserve"> </w:t>
      </w:r>
      <w:hyperlink r:id="rId47">
        <w:r>
          <w:rPr>
            <w:rStyle w:val="Hyperlink"/>
          </w:rPr>
          <w:t xml:space="preserve">Referrals Decision Guide</w:t>
        </w:r>
      </w:hyperlink>
      <w:r>
        <w:t xml:space="preserve">.</w:t>
      </w:r>
    </w:p>
    <w:bookmarkStart w:id="48" w:name="X69b934d92033dd6afa4596e8f40870dd434acc5"/>
    <w:bookmarkEnd w:id="48"/>
    <w:bookmarkStart w:id="49" w:name="X8c299c8ec71ea83f4d5fbbc0061d81d78f74c6c"/>
    <w:bookmarkEnd w:id="49"/>
    <w:bookmarkEnd w:id="50"/>
    <w:bookmarkStart w:id="55" w:name="Xdc57564cbfbb5c5cbfe49c73594acfa8c57b04a"/>
    <w:p>
      <w:pPr>
        <w:pStyle w:val="Heading3"/>
      </w:pPr>
      <w:r>
        <w:t xml:space="preserve">How will prior authorization and patient estimates be handled?</w:t>
      </w:r>
    </w:p>
    <w:p>
      <w:pPr>
        <w:pStyle w:val="FirstParagraph"/>
      </w:pPr>
      <w:r>
        <w:t xml:space="preserve">Decide whether services need payer authorization before they happen, how you track that to a decision, and whether you produce patient cost estimates up front.</w:t>
      </w:r>
    </w:p>
    <w:p>
      <w:pPr>
        <w:pStyle w:val="BodyText"/>
      </w:pPr>
      <w:r>
        <w:rPr>
          <w:i/>
          <w:iCs/>
        </w:rPr>
        <w:t xml:space="preserve">Note: the eligibility- and Claim-based rows below are one FHIR approach to prior auth; validate against your payer requirements. The standards-based CMS-0057-F path (CDS Hooks / CRD) is in</w:t>
      </w:r>
      <w:r>
        <w:rPr>
          <w:i/>
          <w:iCs/>
        </w:rPr>
        <w:t xml:space="preserve"> </w:t>
      </w:r>
      <w:hyperlink r:id="rId51">
        <w:r>
          <w:rPr>
            <w:rStyle w:val="Hyperlink"/>
            <w:i/>
            <w:iCs/>
          </w:rPr>
          <w:t xml:space="preserve">alpha</w:t>
        </w:r>
      </w:hyperlink>
      <w:r>
        <w:rPr>
          <w:i/>
          <w:iCs/>
        </w:rPr>
        <w:t xml:space="preserve">. Prior auth in a referral context is in the</w:t>
      </w:r>
      <w:r>
        <w:rPr>
          <w:i/>
          <w:iCs/>
        </w:rPr>
        <w:t xml:space="preserve"> </w:t>
      </w:r>
      <w:hyperlink r:id="rId52">
        <w:r>
          <w:rPr>
            <w:rStyle w:val="Hyperlink"/>
            <w:i/>
            <w:iCs/>
          </w:rPr>
          <w:t xml:space="preserve">Referrals guide</w:t>
        </w:r>
      </w:hyperlink>
      <w:r>
        <w:rPr>
          <w:i/>
          <w:iCs/>
        </w:rPr>
        <w:t xml:space="preserve">.</w:t>
      </w:r>
    </w:p>
    <w:p>
      <w:pPr>
        <w:pStyle w:val="BodyText"/>
      </w:pPr>
      <w:r>
        <w:rPr>
          <w:b/>
          <w:bCs/>
        </w:rPr>
        <w:t xml:space="preserve">Questions:</w:t>
      </w:r>
    </w:p>
    <w:p>
      <w:pPr>
        <w:pStyle w:val="Compact"/>
        <w:numPr>
          <w:ilvl w:val="0"/>
          <w:numId w:val="1010"/>
        </w:numPr>
      </w:pPr>
      <w:r>
        <w:t xml:space="preserve">Do any services require prior authorization before scheduling or delivery?</w:t>
      </w:r>
    </w:p>
    <w:p>
      <w:pPr>
        <w:pStyle w:val="Compact"/>
        <w:numPr>
          <w:ilvl w:val="0"/>
          <w:numId w:val="1010"/>
        </w:numPr>
      </w:pPr>
      <w:r>
        <w:t xml:space="preserve">How do you check whether auth is required, and track a submitted auth to approval/denial?</w:t>
      </w:r>
    </w:p>
    <w:p>
      <w:pPr>
        <w:pStyle w:val="Compact"/>
        <w:numPr>
          <w:ilvl w:val="0"/>
          <w:numId w:val="1010"/>
        </w:numPr>
      </w:pPr>
      <w:r>
        <w:t xml:space="preserve">Must scheduling be gated until authorization clears?</w:t>
      </w:r>
    </w:p>
    <w:p>
      <w:pPr>
        <w:pStyle w:val="Compact"/>
        <w:numPr>
          <w:ilvl w:val="0"/>
          <w:numId w:val="1010"/>
        </w:numPr>
      </w:pPr>
      <w:r>
        <w:t xml:space="preserve">Do you owe patients a cost estimate before service (e.g. a Good-Faith Estimate)?</w:t>
      </w:r>
    </w:p>
    <w:tbl>
      <w:tblPr>
        <w:tblStyle w:val="Table"/>
        <w:tblW w:w="9360" w:type="dxa"/>
        <w:tblLayout w:type="fixed"/>
        <w:tblLook w:firstRow="1" w:lastRow="0" w:firstColumn="0" w:lastColumn="0" w:noHBand="0" w:noVBand="0" w:val="0020"/>
      </w:tblPr>
      <w:tblGrid>
        <w:gridCol w:w="3987"/>
        <w:gridCol w:w="5373"/>
      </w:tblGrid>
      <w:tr>
        <w:trPr>
          <w:cantSplit/>
          <w:tblHeader w:val="on"/>
        </w:trPr>
        <w:tc>
          <w:tcPr/>
          <w:p>
            <w:pPr>
              <w:pStyle w:val="Compact"/>
              <w:jc w:val="left"/>
            </w:pPr>
            <w:r>
              <w:t xml:space="preserve">Situation</w:t>
            </w:r>
          </w:p>
        </w:tc>
        <w:tc>
          <w:tcPr/>
          <w:p>
            <w:pPr>
              <w:pStyle w:val="Compact"/>
              <w:jc w:val="left"/>
            </w:pPr>
            <w:r>
              <w:t xml:space="preserve">Approach</w:t>
            </w:r>
          </w:p>
        </w:tc>
      </w:tr>
      <w:tr>
        <w:trPr>
          <w:cantSplit/>
        </w:trPr>
        <w:tc>
          <w:tcPr/>
          <w:p>
            <w:pPr>
              <w:pStyle w:val="Compact"/>
              <w:jc w:val="left"/>
            </w:pPr>
            <w:r>
              <w:t xml:space="preserve">Is auth required?</w:t>
            </w:r>
          </w:p>
        </w:tc>
        <w:tc>
          <w:tcPr/>
          <w:p>
            <w:pPr>
              <w:pStyle w:val="Compact"/>
              <w:jc w:val="left"/>
            </w:pPr>
            <w:r>
              <w:t xml:space="preserve">Collect requirements for the service, payer, provider, and date. Use</w:t>
            </w:r>
            <w:r>
              <w:t xml:space="preserve"> </w:t>
            </w:r>
            <w:r>
              <w:rPr>
                <w:rStyle w:val="VerbatimChar"/>
              </w:rPr>
              <w:t xml:space="preserve">purpose: auth-requirements</w:t>
            </w:r>
            <w:r>
              <w:t xml:space="preserve"> </w:t>
            </w:r>
            <w:r>
              <w:t xml:space="preserve">only through a route that supports it; a benefits check alone may not answer the question</w:t>
            </w:r>
          </w:p>
        </w:tc>
      </w:tr>
      <w:tr>
        <w:trPr>
          <w:cantSplit/>
        </w:trPr>
        <w:tc>
          <w:tcPr/>
          <w:p>
            <w:pPr>
              <w:pStyle w:val="Compact"/>
              <w:jc w:val="left"/>
            </w:pPr>
            <w:r>
              <w:t xml:space="preserve">Submit a prior auth</w:t>
            </w:r>
          </w:p>
        </w:tc>
        <w:tc>
          <w:tcPr/>
          <w:p>
            <w:pPr>
              <w:pStyle w:val="Compact"/>
              <w:jc w:val="left"/>
            </w:pPr>
            <w:r>
              <w:t xml:space="preserve">A FHIR model can use</w:t>
            </w:r>
            <w:r>
              <w:t xml:space="preserve"> </w:t>
            </w:r>
            <w:r>
              <w:rPr>
                <w:rStyle w:val="VerbatimChar"/>
              </w:rPr>
              <w:t xml:space="preserve">Claim.use: preauthorization</w:t>
            </w:r>
            <w:r>
              <w:t xml:space="preserve"> </w:t>
            </w:r>
            <w:r>
              <w:t xml:space="preserve">and a corresponding ClaimResponse, but you must select a supported payer/vendor submission workflow. Professional-claim submission does not imply prior-auth transport support</w:t>
            </w:r>
          </w:p>
        </w:tc>
      </w:tr>
      <w:tr>
        <w:trPr>
          <w:cantSplit/>
        </w:trPr>
        <w:tc>
          <w:tcPr/>
          <w:p>
            <w:pPr>
              <w:pStyle w:val="Compact"/>
              <w:jc w:val="left"/>
            </w:pPr>
            <w:r>
              <w:t xml:space="preserve">Standards-based (CMS-0057-F)</w:t>
            </w:r>
          </w:p>
        </w:tc>
        <w:tc>
          <w:tcPr/>
          <w:p>
            <w:pPr>
              <w:pStyle w:val="Compact"/>
              <w:jc w:val="left"/>
            </w:pPr>
            <w:r>
              <w:t xml:space="preserve">Electronic prior auth via CDS Hooks / Coverage Requirements Discovery (CRD);</w:t>
            </w:r>
            <w:r>
              <w:t xml:space="preserve"> </w:t>
            </w:r>
            <w:hyperlink r:id="rId51">
              <w:r>
                <w:rPr>
                  <w:rStyle w:val="Hyperlink"/>
                </w:rPr>
                <w:t xml:space="preserve">alpha</w:t>
              </w:r>
            </w:hyperlink>
            <w:r>
              <w:t xml:space="preserve">. The emerging payer-interop path as the rule phases in.</w:t>
            </w:r>
          </w:p>
        </w:tc>
      </w:tr>
      <w:tr>
        <w:trPr>
          <w:cantSplit/>
        </w:trPr>
        <w:tc>
          <w:tcPr/>
          <w:p>
            <w:pPr>
              <w:pStyle w:val="Compact"/>
              <w:jc w:val="left"/>
            </w:pPr>
            <w:r>
              <w:t xml:space="preserve">Gate scheduling</w:t>
            </w:r>
          </w:p>
        </w:tc>
        <w:tc>
          <w:tcPr/>
          <w:p>
            <w:pPr>
              <w:pStyle w:val="Compact"/>
              <w:jc w:val="left"/>
            </w:pPr>
            <w:r>
              <w:t xml:space="preserve">Hold work in an auth-pending</w:t>
            </w:r>
            <w:r>
              <w:t xml:space="preserve"> </w:t>
            </w:r>
            <w:r>
              <w:rPr>
                <w:rStyle w:val="VerbatimChar"/>
              </w:rPr>
              <w:t xml:space="preserve">Task.businessStatus</w:t>
            </w:r>
            <w:r>
              <w:t xml:space="preserve"> </w:t>
            </w:r>
            <w:r>
              <w:t xml:space="preserve">until the required approval evidence is verified for the service, dates, and units. Processing outcome</w:t>
            </w:r>
            <w:r>
              <w:t xml:space="preserve"> </w:t>
            </w:r>
            <w:r>
              <w:rPr>
                <w:rStyle w:val="VerbatimChar"/>
              </w:rPr>
              <w:t xml:space="preserve">complete</w:t>
            </w:r>
            <w:r>
              <w:t xml:space="preserve"> </w:t>
            </w:r>
            <w:r>
              <w:t xml:space="preserve">alone is not approval</w:t>
            </w:r>
          </w:p>
        </w:tc>
      </w:tr>
    </w:tbl>
    <w:p>
      <w:pPr>
        <w:pStyle w:val="BodyText"/>
      </w:pPr>
      <w:r>
        <w:rPr>
          <w:b/>
          <w:bCs/>
        </w:rPr>
        <w:t xml:space="preserve">Good-Faith Estimates (No Surprises Act).</w:t>
      </w:r>
      <w:r>
        <w:t xml:space="preserve"> </w:t>
      </w:r>
      <w:r>
        <w:t xml:space="preserve">One FHIR approach: build the estimate from pricing rules (</w:t>
      </w:r>
      <w:r>
        <w:rPr>
          <w:rStyle w:val="VerbatimChar"/>
        </w:rPr>
        <w:t xml:space="preserve">ChargeItemDefinition</w:t>
      </w:r>
      <w:r>
        <w:t xml:space="preserve">/</w:t>
      </w:r>
      <w:r>
        <w:rPr>
          <w:rStyle w:val="VerbatimChar"/>
        </w:rPr>
        <w:t xml:space="preserve">$apply</w:t>
      </w:r>
      <w:r>
        <w:t xml:space="preserve">,</w:t>
      </w:r>
      <w:r>
        <w:t xml:space="preserve"> </w:t>
      </w:r>
      <w:hyperlink w:anchor="Xd34c8bd9b45e8c621656c0823a1821cd0407119">
        <w:r>
          <w:rPr>
            <w:rStyle w:val="Hyperlink"/>
          </w:rPr>
          <w:t xml:space="preserve">Charge capture</w:t>
        </w:r>
      </w:hyperlink>
      <w:r>
        <w:t xml:space="preserve">) and the patient’s cost-sharing (</w:t>
      </w:r>
      <w:r>
        <w:rPr>
          <w:rStyle w:val="VerbatimChar"/>
        </w:rPr>
        <w:t xml:space="preserve">Coverage.costToBeneficiary</w:t>
      </w:r>
      <w:r>
        <w:t xml:space="preserve">,</w:t>
      </w:r>
      <w:r>
        <w:t xml:space="preserve"> </w:t>
      </w:r>
      <w:hyperlink w:anchor="Xa8406ddfcb1bd70b201a9e99f840ee7e98a9469">
        <w:r>
          <w:rPr>
            <w:rStyle w:val="Hyperlink"/>
          </w:rPr>
          <w:t xml:space="preserve">Coverage</w:t>
        </w:r>
      </w:hyperlink>
      <w:r>
        <w:t xml:space="preserve">), delivered as a</w:t>
      </w:r>
      <w:r>
        <w:t xml:space="preserve"> </w:t>
      </w:r>
      <w:r>
        <w:rPr>
          <w:rStyle w:val="VerbatimChar"/>
        </w:rPr>
        <w:t xml:space="preserve">DocumentReference</w:t>
      </w:r>
      <w:r>
        <w:t xml:space="preserve">; validate against your compliance requirements. Mainly for self-pay and out-of-network patients.</w:t>
      </w:r>
    </w:p>
    <w:bookmarkStart w:id="53" w:name="decision-3"/>
    <w:bookmarkEnd w:id="53"/>
    <w:bookmarkStart w:id="54" w:name="X1d7b543047f3b725018b238ac270072835bb1ce"/>
    <w:bookmarkEnd w:id="54"/>
    <w:bookmarkEnd w:id="55"/>
    <w:bookmarkEnd w:id="56"/>
    <w:bookmarkStart w:id="70" w:name="charges-and-claims"/>
    <w:p>
      <w:pPr>
        <w:pStyle w:val="Heading2"/>
      </w:pPr>
      <w:r>
        <w:t xml:space="preserve">Charges and claims</w:t>
      </w:r>
    </w:p>
    <w:bookmarkStart w:id="57" w:name="charge--claim--payer"/>
    <w:bookmarkEnd w:id="57"/>
    <w:bookmarkStart w:id="58" w:name="X0ca040f5f32f7421b33e6d20be9278e3ef9a668"/>
    <w:bookmarkEnd w:id="58"/>
    <w:bookmarkStart w:id="59" w:name="X1ad6a44389f1ed1466a1367dc0e7c3ea774ae85"/>
    <w:bookmarkEnd w:id="59"/>
    <w:bookmarkStart w:id="63" w:name="Xd34c8bd9b45e8c621656c0823a1821cd0407119"/>
    <w:p>
      <w:pPr>
        <w:pStyle w:val="Heading3"/>
      </w:pPr>
      <w:r>
        <w:t xml:space="preserve">What creates a charge, and how is it coded and priced?</w:t>
      </w:r>
    </w:p>
    <w:p>
      <w:pPr>
        <w:pStyle w:val="FirstParagraph"/>
      </w:pPr>
      <w:r>
        <w:rPr>
          <w:i/>
          <w:iCs/>
        </w:rPr>
        <w:t xml:space="preserve">For insurance claims, cover every subsection. Direct self-pay needs pricing (</w:t>
      </w:r>
      <w:hyperlink w:anchor="Xd34c8bd9b45e8c621656c0823a1821cd0407119">
        <w:r>
          <w:rPr>
            <w:rStyle w:val="Hyperlink"/>
            <w:i/>
            <w:iCs/>
          </w:rPr>
          <w:t xml:space="preserve">Charge capture</w:t>
        </w:r>
      </w:hyperlink>
      <w:r>
        <w:rPr>
          <w:i/>
          <w:iCs/>
        </w:rPr>
        <w:t xml:space="preserve">), patient billing (</w:t>
      </w:r>
      <w:hyperlink w:anchor="how-will-patients-be-billed">
        <w:r>
          <w:rPr>
            <w:rStyle w:val="Hyperlink"/>
            <w:i/>
            <w:iCs/>
          </w:rPr>
          <w:t xml:space="preserve">Patient billing</w:t>
        </w:r>
      </w:hyperlink>
      <w:r>
        <w:rPr>
          <w:i/>
          <w:iCs/>
        </w:rPr>
        <w:t xml:space="preserve">), and AR ownership (</w:t>
      </w:r>
      <w:hyperlink w:anchor="X3429ee957dacc59b7a0ff7e79e7186185b7175c">
        <w:r>
          <w:rPr>
            <w:rStyle w:val="Hyperlink"/>
            <w:i/>
            <w:iCs/>
          </w:rPr>
          <w:t xml:space="preserve">AR and reporting</w:t>
        </w:r>
      </w:hyperlink>
      <w:r>
        <w:rPr>
          <w:i/>
          <w:iCs/>
        </w:rPr>
        <w:t xml:space="preserve">); partner-managed self-pay may also need claim assembly and submission (</w:t>
      </w:r>
      <w:hyperlink w:anchor="X77391c27292ca82bfebfaeadf8459f044332849">
        <w:r>
          <w:rPr>
            <w:rStyle w:val="Hyperlink"/>
            <w:i/>
            <w:iCs/>
          </w:rPr>
          <w:t xml:space="preserve">Claim submission</w:t>
        </w:r>
      </w:hyperlink>
      <w:r>
        <w:rPr>
          <w:i/>
          <w:iCs/>
        </w:rPr>
        <w:t xml:space="preserve">,</w:t>
      </w:r>
      <w:r>
        <w:rPr>
          <w:i/>
          <w:iCs/>
        </w:rPr>
        <w:t xml:space="preserve"> </w:t>
      </w:r>
      <w:hyperlink w:anchor="how-will-patients-be-billed">
        <w:r>
          <w:rPr>
            <w:rStyle w:val="Hyperlink"/>
            <w:i/>
            <w:iCs/>
          </w:rPr>
          <w:t xml:space="preserve">Patient billing</w:t>
        </w:r>
      </w:hyperlink>
      <w:r>
        <w:rPr>
          <w:i/>
          <w:iCs/>
        </w:rPr>
        <w:t xml:space="preserve">).</w:t>
      </w:r>
    </w:p>
    <w:p>
      <w:pPr>
        <w:pStyle w:val="BodyText"/>
      </w:pPr>
      <w:r>
        <w:t xml:space="preserve">Decide what gets billed, where the codes come from, and how each line is priced. Coding is the largest source of denials, so treat it as first-class, not a byproduct of charge entry.</w:t>
      </w:r>
    </w:p>
    <w:p>
      <w:pPr>
        <w:pStyle w:val="BodyText"/>
      </w:pPr>
      <w:r>
        <w:rPr>
          <w:b/>
          <w:bCs/>
        </w:rPr>
        <w:t xml:space="preserve">Questions:</w:t>
      </w:r>
    </w:p>
    <w:p>
      <w:pPr>
        <w:pStyle w:val="Compact"/>
        <w:numPr>
          <w:ilvl w:val="0"/>
          <w:numId w:val="1011"/>
        </w:numPr>
      </w:pPr>
      <w:r>
        <w:t xml:space="preserve">What generates a charge: a completed encounter, an order/procedure, a fulfilled service?</w:t>
      </w:r>
    </w:p>
    <w:p>
      <w:pPr>
        <w:pStyle w:val="Compact"/>
        <w:numPr>
          <w:ilvl w:val="0"/>
          <w:numId w:val="1011"/>
        </w:numPr>
      </w:pPr>
      <w:r>
        <w:t xml:space="preserve">Where do codes come from (CPT/HCPCS, ICD-10, modifiers): auto-derived, coder-reviewed, or manual (</w:t>
      </w:r>
      <w:hyperlink w:anchor="Xf4d41eaa08989bf80ea83ba446ffdada1b5e347">
        <w:r>
          <w:rPr>
            <w:rStyle w:val="Hyperlink"/>
          </w:rPr>
          <w:t xml:space="preserve">Coding ownership</w:t>
        </w:r>
      </w:hyperlink>
      <w:r>
        <w:t xml:space="preserve">)?</w:t>
      </w:r>
    </w:p>
    <w:p>
      <w:pPr>
        <w:pStyle w:val="Compact"/>
        <w:numPr>
          <w:ilvl w:val="0"/>
          <w:numId w:val="1011"/>
        </w:numPr>
      </w:pPr>
      <w:r>
        <w:t xml:space="preserve">Is pricing a single fee schedule, or does it vary by payer contract?</w:t>
      </w:r>
    </w:p>
    <w:p>
      <w:pPr>
        <w:pStyle w:val="Compact"/>
        <w:numPr>
          <w:ilvl w:val="0"/>
          <w:numId w:val="1011"/>
        </w:numPr>
      </w:pPr>
      <w:r>
        <w:t xml:space="preserve">Who reviews coding before a claim is built, and how do exceptions surface?</w:t>
      </w:r>
    </w:p>
    <w:tbl>
      <w:tblPr>
        <w:tblStyle w:val="Table"/>
        <w:tblW w:w="9360" w:type="dxa"/>
        <w:tblLayout w:type="fixed"/>
        <w:tblLook w:firstRow="1" w:lastRow="0" w:firstColumn="0" w:lastColumn="0" w:noHBand="0" w:noVBand="0" w:val="0020"/>
      </w:tblPr>
      <w:tblGrid>
        <w:gridCol w:w="3289"/>
        <w:gridCol w:w="6071"/>
      </w:tblGrid>
      <w:tr>
        <w:trPr>
          <w:cantSplit/>
          <w:tblHeader w:val="on"/>
        </w:trPr>
        <w:tc>
          <w:tcPr/>
          <w:p>
            <w:pPr>
              <w:pStyle w:val="Compact"/>
              <w:jc w:val="left"/>
            </w:pPr>
            <w:r>
              <w:t xml:space="preserve">Situation</w:t>
            </w:r>
          </w:p>
        </w:tc>
        <w:tc>
          <w:tcPr/>
          <w:p>
            <w:pPr>
              <w:pStyle w:val="Compact"/>
              <w:jc w:val="left"/>
            </w:pPr>
            <w:r>
              <w:t xml:space="preserve">Approach</w:t>
            </w:r>
          </w:p>
        </w:tc>
      </w:tr>
      <w:tr>
        <w:trPr>
          <w:cantSplit/>
        </w:trPr>
        <w:tc>
          <w:tcPr/>
          <w:p>
            <w:pPr>
              <w:pStyle w:val="Compact"/>
              <w:jc w:val="left"/>
            </w:pPr>
            <w:r>
              <w:t xml:space="preserve">What gets billed</w:t>
            </w:r>
          </w:p>
        </w:tc>
        <w:tc>
          <w:tcPr/>
          <w:p>
            <w:pPr>
              <w:pStyle w:val="Compact"/>
              <w:jc w:val="left"/>
            </w:pPr>
            <w:r>
              <w:t xml:space="preserve">One</w:t>
            </w:r>
            <w:r>
              <w:t xml:space="preserve"> </w:t>
            </w:r>
            <w:r>
              <w:rPr>
                <w:rStyle w:val="VerbatimChar"/>
              </w:rPr>
              <w:t xml:space="preserve">ChargeItem</w:t>
            </w:r>
            <w:r>
              <w:t xml:space="preserve"> </w:t>
            </w:r>
            <w:r>
              <w:t xml:space="preserve">per billable line;</w:t>
            </w:r>
            <w:r>
              <w:t xml:space="preserve"> </w:t>
            </w:r>
            <w:r>
              <w:rPr>
                <w:rStyle w:val="VerbatimChar"/>
              </w:rPr>
              <w:t xml:space="preserve">ChargeItem.code</w:t>
            </w:r>
            <w:r>
              <w:t xml:space="preserve"> </w:t>
            </w:r>
            <w:r>
              <w:t xml:space="preserve">carries CPT/HCPCS. Link</w:t>
            </w:r>
            <w:r>
              <w:t xml:space="preserve"> </w:t>
            </w:r>
            <w:r>
              <w:rPr>
                <w:rStyle w:val="VerbatimChar"/>
              </w:rPr>
              <w:t xml:space="preserve">context</w:t>
            </w:r>
            <w:r>
              <w:t xml:space="preserve"> </w:t>
            </w:r>
            <w:r>
              <w:t xml:space="preserve">→</w:t>
            </w:r>
            <w:r>
              <w:t xml:space="preserve"> </w:t>
            </w:r>
            <w:r>
              <w:rPr>
                <w:rStyle w:val="VerbatimChar"/>
              </w:rPr>
              <w:t xml:space="preserve">Encounter</w:t>
            </w:r>
            <w:r>
              <w:t xml:space="preserve"> </w:t>
            </w:r>
            <w:r>
              <w:t xml:space="preserve">and reference the</w:t>
            </w:r>
            <w:r>
              <w:t xml:space="preserve"> </w:t>
            </w:r>
            <w:r>
              <w:rPr>
                <w:rStyle w:val="VerbatimChar"/>
              </w:rPr>
              <w:t xml:space="preserve">Account</w:t>
            </w:r>
            <w:r>
              <w:t xml:space="preserve"> </w:t>
            </w:r>
            <w:r>
              <w:t xml:space="preserve">(</w:t>
            </w:r>
            <w:hyperlink w:anchor="X84d27e546a844b13b2da6fb283b1c564dbc85a9">
              <w:r>
                <w:rPr>
                  <w:rStyle w:val="Hyperlink"/>
                </w:rPr>
                <w:t xml:space="preserve">Accounts</w:t>
              </w:r>
            </w:hyperlink>
            <w:r>
              <w:t xml:space="preserve">) at creation, or reconciling into claims and AR later gets painful.</w:t>
            </w:r>
          </w:p>
        </w:tc>
      </w:tr>
      <w:tr>
        <w:trPr>
          <w:cantSplit/>
        </w:trPr>
        <w:tc>
          <w:tcPr/>
          <w:p>
            <w:pPr>
              <w:pStyle w:val="Compact"/>
              <w:jc w:val="left"/>
            </w:pPr>
            <w:r>
              <w:t xml:space="preserve">Pricing</w:t>
            </w:r>
          </w:p>
        </w:tc>
        <w:tc>
          <w:tcPr/>
          <w:p>
            <w:pPr>
              <w:pStyle w:val="Compact"/>
              <w:jc w:val="left"/>
            </w:pPr>
            <w:r>
              <w:rPr>
                <w:rStyle w:val="VerbatimChar"/>
              </w:rPr>
              <w:t xml:space="preserve">ChargeItemDefinition</w:t>
            </w:r>
            <w:r>
              <w:t xml:space="preserve"> </w:t>
            </w:r>
            <w:r>
              <w:t xml:space="preserve">holds the rules;</w:t>
            </w:r>
            <w:r>
              <w:t xml:space="preserve"> </w:t>
            </w:r>
            <w:hyperlink r:id="rId60">
              <w:r>
                <w:rPr>
                  <w:rStyle w:val="VerbatimChar"/>
                </w:rPr>
                <w:t xml:space="preserve">$apply</w:t>
              </w:r>
            </w:hyperlink>
            <w:r>
              <w:t xml:space="preserve"> </w:t>
            </w:r>
            <w:r>
              <w:t xml:space="preserve">calculates the price.</w:t>
            </w:r>
          </w:p>
        </w:tc>
      </w:tr>
      <w:tr>
        <w:trPr>
          <w:cantSplit/>
        </w:trPr>
        <w:tc>
          <w:tcPr/>
          <w:p>
            <w:pPr>
              <w:pStyle w:val="Compact"/>
              <w:jc w:val="left"/>
            </w:pPr>
            <w:r>
              <w:t xml:space="preserve">Payer-specific rates</w:t>
            </w:r>
          </w:p>
        </w:tc>
        <w:tc>
          <w:tcPr/>
          <w:p>
            <w:pPr>
              <w:pStyle w:val="Compact"/>
              <w:jc w:val="left"/>
            </w:pPr>
            <w:r>
              <w:t xml:space="preserve">Multiple</w:t>
            </w:r>
            <w:r>
              <w:t xml:space="preserve"> </w:t>
            </w:r>
            <w:r>
              <w:rPr>
                <w:rStyle w:val="VerbatimChar"/>
              </w:rPr>
              <w:t xml:space="preserve">ChargeItemDefinition</w:t>
            </w:r>
            <w:r>
              <w:t xml:space="preserve">s keyed to payer/contract; apply the one matching the coverage.</w:t>
            </w:r>
          </w:p>
        </w:tc>
      </w:tr>
      <w:tr>
        <w:trPr>
          <w:cantSplit/>
        </w:trPr>
        <w:tc>
          <w:tcPr/>
          <w:p>
            <w:pPr>
              <w:pStyle w:val="Compact"/>
              <w:jc w:val="left"/>
            </w:pPr>
            <w:r>
              <w:t xml:space="preserve">Coding source</w:t>
            </w:r>
          </w:p>
        </w:tc>
        <w:tc>
          <w:tcPr/>
          <w:p>
            <w:pPr>
              <w:pStyle w:val="Compact"/>
              <w:jc w:val="left"/>
            </w:pPr>
            <w:r>
              <w:t xml:space="preserve">Auto-derive via a</w:t>
            </w:r>
            <w:r>
              <w:t xml:space="preserve"> </w:t>
            </w:r>
            <w:r>
              <w:rPr>
                <w:rStyle w:val="VerbatimChar"/>
              </w:rPr>
              <w:t xml:space="preserve">Bot</w:t>
            </w:r>
            <w:r>
              <w:t xml:space="preserve">, or set by a coder; route low-confidence items to a review</w:t>
            </w:r>
            <w:r>
              <w:t xml:space="preserve"> </w:t>
            </w:r>
            <w:r>
              <w:rPr>
                <w:rStyle w:val="VerbatimChar"/>
              </w:rPr>
              <w:t xml:space="preserve">Task</w:t>
            </w:r>
            <w:r>
              <w:t xml:space="preserve">.</w:t>
            </w:r>
          </w:p>
        </w:tc>
      </w:tr>
      <w:tr>
        <w:trPr>
          <w:cantSplit/>
        </w:trPr>
        <w:tc>
          <w:tcPr/>
          <w:p>
            <w:pPr>
              <w:pStyle w:val="Compact"/>
              <w:jc w:val="left"/>
            </w:pPr>
            <w:r>
              <w:t xml:space="preserve">Diagnoses</w:t>
            </w:r>
          </w:p>
        </w:tc>
        <w:tc>
          <w:tcPr/>
          <w:p>
            <w:pPr>
              <w:pStyle w:val="Compact"/>
              <w:jc w:val="left"/>
            </w:pPr>
            <w:r>
              <w:t xml:space="preserve">Capture ICD-10 diagnoses to attach to the claim (</w:t>
            </w:r>
            <w:r>
              <w:rPr>
                <w:rStyle w:val="VerbatimChar"/>
              </w:rPr>
              <w:t xml:space="preserve">Claim.diagnosis</w:t>
            </w:r>
            <w:r>
              <w:t xml:space="preserve">, with item-level pointers) in</w:t>
            </w:r>
            <w:r>
              <w:t xml:space="preserve"> </w:t>
            </w:r>
            <w:hyperlink w:anchor="X77391c27292ca82bfebfaeadf8459f044332849">
              <w:r>
                <w:rPr>
                  <w:rStyle w:val="Hyperlink"/>
                </w:rPr>
                <w:t xml:space="preserve">Claim submission</w:t>
              </w:r>
            </w:hyperlink>
            <w:r>
              <w:t xml:space="preserve">.</w:t>
            </w:r>
          </w:p>
        </w:tc>
      </w:tr>
    </w:tbl>
    <w:bookmarkStart w:id="61" w:name="X60aff195687f0a4d05529b77bcfded94990dda7"/>
    <w:bookmarkEnd w:id="61"/>
    <w:bookmarkStart w:id="62" w:name="X2677f4a3671e5955c3067cdbb1f05359f884744"/>
    <w:bookmarkEnd w:id="62"/>
    <w:bookmarkEnd w:id="63"/>
    <w:bookmarkStart w:id="69" w:name="X77391c27292ca82bfebfaeadf8459f044332849"/>
    <w:p>
      <w:pPr>
        <w:pStyle w:val="Heading3"/>
      </w:pPr>
      <w:r>
        <w:t xml:space="preserve">How will claims be assembled, validated, and submitted?</w:t>
      </w:r>
    </w:p>
    <w:p>
      <w:pPr>
        <w:pStyle w:val="FirstParagraph"/>
      </w:pPr>
      <w:r>
        <w:t xml:space="preserve">Decide how you build a valid claim from charges and coverage, and how it leaves your system. The workflow ownership choice in</w:t>
      </w:r>
      <w:r>
        <w:t xml:space="preserve"> </w:t>
      </w:r>
      <w:hyperlink w:anchor="X84010e9cce6a158202632be05194bacb308ba01">
        <w:r>
          <w:rPr>
            <w:rStyle w:val="Hyperlink"/>
          </w:rPr>
          <w:t xml:space="preserve">Workflow ownership</w:t>
        </w:r>
      </w:hyperlink>
      <w:r>
        <w:t xml:space="preserve"> </w:t>
      </w:r>
      <w:r>
        <w:t xml:space="preserve">plays out here.</w:t>
      </w:r>
    </w:p>
    <w:p>
      <w:pPr>
        <w:pStyle w:val="BodyText"/>
      </w:pPr>
      <w:r>
        <w:rPr>
          <w:b/>
          <w:bCs/>
        </w:rPr>
        <w:t xml:space="preserve">⚠ One-way door:</w:t>
      </w:r>
      <w:r>
        <w:t xml:space="preserve"> </w:t>
      </w:r>
      <w:r>
        <w:t xml:space="preserve">Choosing a submission backend is hard to reverse. Each maps the</w:t>
      </w:r>
      <w:r>
        <w:t xml:space="preserve"> </w:t>
      </w:r>
      <w:r>
        <w:rPr>
          <w:rStyle w:val="VerbatimChar"/>
        </w:rPr>
        <w:t xml:space="preserve">Claim</w:t>
      </w:r>
      <w:r>
        <w:t xml:space="preserve"> </w:t>
      </w:r>
      <w:r>
        <w:t xml:space="preserve">to a different format (837P, the partner’s API, a CMS-1500 PDF) with a different response pipeline (</w:t>
      </w:r>
      <w:hyperlink w:anchor="X746a8460f386e4026b0dff6ec24346f15027834">
        <w:r>
          <w:rPr>
            <w:rStyle w:val="Hyperlink"/>
          </w:rPr>
          <w:t xml:space="preserve">Responses and posting</w:t>
        </w:r>
      </w:hyperlink>
      <w:r>
        <w:t xml:space="preserve">), and payer identifier systems differ. Keep one</w:t>
      </w:r>
      <w:r>
        <w:t xml:space="preserve"> </w:t>
      </w:r>
      <w:r>
        <w:rPr>
          <w:rStyle w:val="VerbatimChar"/>
        </w:rPr>
        <w:t xml:space="preserve">Claim</w:t>
      </w:r>
      <w:r>
        <w:t xml:space="preserve"> </w:t>
      </w:r>
      <w:r>
        <w:t xml:space="preserve">as the source of truth so the backend stays swappable.</w:t>
      </w:r>
    </w:p>
    <w:p>
      <w:pPr>
        <w:pStyle w:val="BodyText"/>
      </w:pPr>
      <w:r>
        <w:rPr>
          <w:b/>
          <w:bCs/>
        </w:rPr>
        <w:t xml:space="preserve">Questions:</w:t>
      </w:r>
    </w:p>
    <w:p>
      <w:pPr>
        <w:pStyle w:val="Compact"/>
        <w:numPr>
          <w:ilvl w:val="0"/>
          <w:numId w:val="1012"/>
        </w:numPr>
      </w:pPr>
      <w:r>
        <w:t xml:space="preserve">Are you billing as an organization or an individual provider?</w:t>
      </w:r>
    </w:p>
    <w:p>
      <w:pPr>
        <w:pStyle w:val="Compact"/>
        <w:numPr>
          <w:ilvl w:val="0"/>
          <w:numId w:val="1012"/>
        </w:numPr>
      </w:pPr>
      <w:r>
        <w:t xml:space="preserve">Who rendered the service, and which service facility should appear on the submission?</w:t>
      </w:r>
    </w:p>
    <w:p>
      <w:pPr>
        <w:pStyle w:val="Compact"/>
        <w:numPr>
          <w:ilvl w:val="0"/>
          <w:numId w:val="1012"/>
        </w:numPr>
      </w:pPr>
      <w:r>
        <w:t xml:space="preserve">Which submission path(s), and does it vary by payer (electronic for most, paper/portal for some)?</w:t>
      </w:r>
    </w:p>
    <w:p>
      <w:pPr>
        <w:pStyle w:val="Compact"/>
        <w:numPr>
          <w:ilvl w:val="0"/>
          <w:numId w:val="1012"/>
        </w:numPr>
      </w:pPr>
      <w:r>
        <w:t xml:space="preserve">What validation must pass before submission, and where do failures surface?</w:t>
      </w:r>
    </w:p>
    <w:p>
      <w:pPr>
        <w:pStyle w:val="Compact"/>
        <w:numPr>
          <w:ilvl w:val="0"/>
          <w:numId w:val="1012"/>
        </w:numPr>
      </w:pPr>
      <w:r>
        <w:t xml:space="preserve">Do you submit secondary claims after the primary pays (coordination of benefits)?</w:t>
      </w:r>
    </w:p>
    <w:tbl>
      <w:tblPr>
        <w:tblStyle w:val="Table"/>
        <w:tblW w:w="9360" w:type="dxa"/>
        <w:tblLayout w:type="fixed"/>
        <w:tblLook w:firstRow="1" w:lastRow="0" w:firstColumn="0" w:lastColumn="0" w:noHBand="0" w:noVBand="0" w:val="0020"/>
      </w:tblPr>
      <w:tblGrid>
        <w:gridCol w:w="4464"/>
        <w:gridCol w:w="4896"/>
      </w:tblGrid>
      <w:tr>
        <w:trPr>
          <w:cantSplit/>
          <w:tblHeader w:val="on"/>
        </w:trPr>
        <w:tc>
          <w:tcPr/>
          <w:p>
            <w:pPr>
              <w:pStyle w:val="Compact"/>
              <w:jc w:val="left"/>
            </w:pPr>
            <w:r>
              <w:t xml:space="preserve">Situation</w:t>
            </w:r>
          </w:p>
        </w:tc>
        <w:tc>
          <w:tcPr/>
          <w:p>
            <w:pPr>
              <w:pStyle w:val="Compact"/>
              <w:jc w:val="left"/>
            </w:pPr>
            <w:r>
              <w:t xml:space="preserve">Approach</w:t>
            </w:r>
          </w:p>
        </w:tc>
      </w:tr>
      <w:tr>
        <w:trPr>
          <w:cantSplit/>
        </w:trPr>
        <w:tc>
          <w:tcPr/>
          <w:p>
            <w:pPr>
              <w:pStyle w:val="Compact"/>
              <w:jc w:val="left"/>
            </w:pPr>
            <w:r>
              <w:t xml:space="preserve">Build the claim</w:t>
            </w:r>
          </w:p>
        </w:tc>
        <w:tc>
          <w:tcPr/>
          <w:p>
            <w:pPr>
              <w:pStyle w:val="Compact"/>
              <w:jc w:val="left"/>
            </w:pPr>
            <w:r>
              <w:rPr>
                <w:rStyle w:val="VerbatimChar"/>
              </w:rPr>
              <w:t xml:space="preserve">Claim</w:t>
            </w:r>
            <w:r>
              <w:t xml:space="preserve"> </w:t>
            </w:r>
            <w:r>
              <w:t xml:space="preserve">referencing the</w:t>
            </w:r>
            <w:r>
              <w:t xml:space="preserve"> </w:t>
            </w:r>
            <w:r>
              <w:rPr>
                <w:rStyle w:val="VerbatimChar"/>
              </w:rPr>
              <w:t xml:space="preserve">Coverage</w:t>
            </w:r>
            <w:r>
              <w:t xml:space="preserve"> </w:t>
            </w:r>
            <w:r>
              <w:t xml:space="preserve">(</w:t>
            </w:r>
            <w:r>
              <w:rPr>
                <w:rStyle w:val="VerbatimChar"/>
              </w:rPr>
              <w:t xml:space="preserve">Claim.insurance</w:t>
            </w:r>
            <w:r>
              <w:t xml:space="preserve">), charges (</w:t>
            </w:r>
            <w:r>
              <w:rPr>
                <w:rStyle w:val="VerbatimChar"/>
              </w:rPr>
              <w:t xml:space="preserve">Claim.item</w:t>
            </w:r>
            <w:r>
              <w:t xml:space="preserve">), and ICD-10 diagnoses (</w:t>
            </w:r>
            <w:r>
              <w:rPr>
                <w:rStyle w:val="VerbatimChar"/>
              </w:rPr>
              <w:t xml:space="preserve">Claim.diagnosis</w:t>
            </w:r>
            <w:r>
              <w:t xml:space="preserve">) with item-level pointers.</w:t>
            </w:r>
          </w:p>
        </w:tc>
      </w:tr>
      <w:tr>
        <w:trPr>
          <w:cantSplit/>
        </w:trPr>
        <w:tc>
          <w:tcPr/>
          <w:p>
            <w:pPr>
              <w:pStyle w:val="Compact"/>
              <w:jc w:val="left"/>
            </w:pPr>
            <w:r>
              <w:t xml:space="preserve">Billing provider</w:t>
            </w:r>
          </w:p>
        </w:tc>
        <w:tc>
          <w:tcPr/>
          <w:p>
            <w:pPr>
              <w:pStyle w:val="Compact"/>
              <w:jc w:val="left"/>
            </w:pPr>
            <w:r>
              <w:t xml:space="preserve">Set on</w:t>
            </w:r>
            <w:r>
              <w:t xml:space="preserve"> </w:t>
            </w:r>
            <w:r>
              <w:rPr>
                <w:rStyle w:val="VerbatimChar"/>
              </w:rPr>
              <w:t xml:space="preserve">Claim.provider</w:t>
            </w:r>
            <w:r>
              <w:t xml:space="preserve">: the billing</w:t>
            </w:r>
            <w:r>
              <w:t xml:space="preserve"> </w:t>
            </w:r>
            <w:r>
              <w:rPr>
                <w:rStyle w:val="VerbatimChar"/>
              </w:rPr>
              <w:t xml:space="preserve">Organization</w:t>
            </w:r>
            <w:r>
              <w:t xml:space="preserve"> </w:t>
            </w:r>
            <w:r>
              <w:t xml:space="preserve">(or a</w:t>
            </w:r>
            <w:r>
              <w:t xml:space="preserve"> </w:t>
            </w:r>
            <w:r>
              <w:rPr>
                <w:rStyle w:val="VerbatimChar"/>
              </w:rPr>
              <w:t xml:space="preserve">Practitioner</w:t>
            </w:r>
            <w:r>
              <w:t xml:space="preserve"> </w:t>
            </w:r>
            <w:r>
              <w:t xml:space="preserve">for individual billing). The rendering provider goes on</w:t>
            </w:r>
            <w:r>
              <w:t xml:space="preserve"> </w:t>
            </w:r>
            <w:r>
              <w:rPr>
                <w:rStyle w:val="VerbatimChar"/>
              </w:rPr>
              <w:t xml:space="preserve">Claim.careTeam</w:t>
            </w:r>
            <w:r>
              <w:t xml:space="preserve"> </w:t>
            </w:r>
            <w:r>
              <w:t xml:space="preserve">with role</w:t>
            </w:r>
            <w:r>
              <w:t xml:space="preserve"> </w:t>
            </w:r>
            <w:r>
              <w:rPr>
                <w:rStyle w:val="VerbatimChar"/>
              </w:rPr>
              <w:t xml:space="preserve">primary</w:t>
            </w:r>
            <w:r>
              <w:t xml:space="preserve">.</w:t>
            </w:r>
          </w:p>
        </w:tc>
      </w:tr>
      <w:tr>
        <w:trPr>
          <w:cantSplit/>
        </w:trPr>
        <w:tc>
          <w:tcPr/>
          <w:p>
            <w:pPr>
              <w:pStyle w:val="Compact"/>
              <w:jc w:val="left"/>
            </w:pPr>
            <w:r>
              <w:t xml:space="preserve">Service facility</w:t>
            </w:r>
          </w:p>
        </w:tc>
        <w:tc>
          <w:tcPr/>
          <w:p>
            <w:pPr>
              <w:pStyle w:val="Compact"/>
              <w:jc w:val="left"/>
            </w:pPr>
            <w:r>
              <w:t xml:space="preserve">Set</w:t>
            </w:r>
            <w:r>
              <w:t xml:space="preserve"> </w:t>
            </w:r>
            <w:r>
              <w:rPr>
                <w:rStyle w:val="VerbatimChar"/>
              </w:rPr>
              <w:t xml:space="preserve">Claim.facility</w:t>
            </w:r>
            <w:r>
              <w:t xml:space="preserve"> </w:t>
            </w:r>
            <w:r>
              <w:t xml:space="preserve">to the service Location when required. Confirm the submission route’s facility requirements and fallback behavior, including individual billing and telehealth</w:t>
            </w:r>
          </w:p>
        </w:tc>
      </w:tr>
      <w:tr>
        <w:trPr>
          <w:cantSplit/>
        </w:trPr>
        <w:tc>
          <w:tcPr/>
          <w:p>
            <w:pPr>
              <w:pStyle w:val="Compact"/>
              <w:jc w:val="left"/>
            </w:pPr>
            <w:r>
              <w:t xml:space="preserve">Electronic (you own the cycle)</w:t>
            </w:r>
          </w:p>
        </w:tc>
        <w:tc>
          <w:tcPr/>
          <w:p>
            <w:pPr>
              <w:pStyle w:val="Compact"/>
              <w:jc w:val="left"/>
            </w:pPr>
            <w:r>
              <w:t xml:space="preserve">The clearinghouse submit operation sends an 837P and writes a correlation id back to the</w:t>
            </w:r>
            <w:r>
              <w:t xml:space="preserve"> </w:t>
            </w:r>
            <w:r>
              <w:rPr>
                <w:rStyle w:val="VerbatimChar"/>
              </w:rPr>
              <w:t xml:space="preserve">Claim</w:t>
            </w:r>
            <w:r>
              <w:t xml:space="preserve">.</w:t>
            </w:r>
          </w:p>
        </w:tc>
      </w:tr>
      <w:tr>
        <w:trPr>
          <w:cantSplit/>
        </w:trPr>
        <w:tc>
          <w:tcPr/>
          <w:p>
            <w:pPr>
              <w:pStyle w:val="Compact"/>
              <w:jc w:val="left"/>
            </w:pPr>
            <w:r>
              <w:t xml:space="preserve">RCM partner</w:t>
            </w:r>
          </w:p>
        </w:tc>
        <w:tc>
          <w:tcPr/>
          <w:p>
            <w:pPr>
              <w:pStyle w:val="Compact"/>
              <w:jc w:val="left"/>
            </w:pPr>
            <w:r>
              <w:t xml:space="preserve">Submit through the partner’s supported interface; persist its acknowledgment and correlation identifiers. Agree which downstream workflows it owns and how billing tasks or status changes sync back (</w:t>
            </w:r>
            <w:hyperlink w:anchor="Xf46c4c29a90f7fd4ac180a91d29dd8f9415c6f0">
              <w:r>
                <w:rPr>
                  <w:rStyle w:val="Hyperlink"/>
                </w:rPr>
                <w:t xml:space="preserve">Denials and appeals</w:t>
              </w:r>
            </w:hyperlink>
            <w:r>
              <w:t xml:space="preserve">).</w:t>
            </w:r>
          </w:p>
        </w:tc>
      </w:tr>
      <w:tr>
        <w:trPr>
          <w:cantSplit/>
        </w:trPr>
        <w:tc>
          <w:tcPr/>
          <w:p>
            <w:pPr>
              <w:pStyle w:val="Compact"/>
              <w:jc w:val="left"/>
            </w:pPr>
            <w:r>
              <w:t xml:space="preserve">Manual / paper / portal</w:t>
            </w:r>
          </w:p>
        </w:tc>
        <w:tc>
          <w:tcPr/>
          <w:p>
            <w:pPr>
              <w:pStyle w:val="Compact"/>
              <w:jc w:val="left"/>
            </w:pPr>
            <w:hyperlink r:id="rId64">
              <w:r>
                <w:rPr>
                  <w:rStyle w:val="VerbatimChar"/>
                </w:rPr>
                <w:t xml:space="preserve">Claim/$export</w:t>
              </w:r>
            </w:hyperlink>
            <w:r>
              <w:t xml:space="preserve"> </w:t>
            </w:r>
            <w:r>
              <w:t xml:space="preserve">generates a</w:t>
            </w:r>
            <w:r>
              <w:t xml:space="preserve"> </w:t>
            </w:r>
            <w:hyperlink r:id="rId65">
              <w:r>
                <w:rPr>
                  <w:rStyle w:val="Hyperlink"/>
                </w:rPr>
                <w:t xml:space="preserve">CMS-1500 PDF</w:t>
              </w:r>
            </w:hyperlink>
            <w:r>
              <w:t xml:space="preserve"> </w:t>
            </w:r>
            <w:r>
              <w:t xml:space="preserve">(</w:t>
            </w:r>
            <w:r>
              <w:rPr>
                <w:rStyle w:val="VerbatimChar"/>
              </w:rPr>
              <w:t xml:space="preserve">Binary</w:t>
            </w:r>
            <w:r>
              <w:t xml:space="preserve">; experimental); log the outbound document.</w:t>
            </w:r>
          </w:p>
        </w:tc>
      </w:tr>
      <w:tr>
        <w:trPr>
          <w:cantSplit/>
        </w:trPr>
        <w:tc>
          <w:tcPr/>
          <w:p>
            <w:pPr>
              <w:pStyle w:val="Compact"/>
              <w:jc w:val="left"/>
            </w:pPr>
            <w:r>
              <w:t xml:space="preserve">Patient-submitted (out-of-network)</w:t>
            </w:r>
          </w:p>
        </w:tc>
        <w:tc>
          <w:tcPr/>
          <w:p>
            <w:pPr>
              <w:pStyle w:val="Compact"/>
              <w:jc w:val="left"/>
            </w:pPr>
            <w:r>
              <w:t xml:space="preserve">Generate a</w:t>
            </w:r>
            <w:r>
              <w:t xml:space="preserve"> </w:t>
            </w:r>
            <w:hyperlink r:id="rId66">
              <w:r>
                <w:rPr>
                  <w:rStyle w:val="Hyperlink"/>
                </w:rPr>
                <w:t xml:space="preserve">superbill</w:t>
              </w:r>
            </w:hyperlink>
            <w:r>
              <w:t xml:space="preserve"> </w:t>
            </w:r>
            <w:r>
              <w:t xml:space="preserve">for the patient to file.</w:t>
            </w:r>
          </w:p>
        </w:tc>
      </w:tr>
      <w:tr>
        <w:trPr>
          <w:cantSplit/>
        </w:trPr>
        <w:tc>
          <w:tcPr/>
          <w:p>
            <w:pPr>
              <w:pStyle w:val="Compact"/>
              <w:jc w:val="left"/>
            </w:pPr>
            <w:r>
              <w:t xml:space="preserve">Validation and submission failure</w:t>
            </w:r>
          </w:p>
        </w:tc>
        <w:tc>
          <w:tcPr/>
          <w:p>
            <w:pPr>
              <w:pStyle w:val="Compact"/>
              <w:jc w:val="left"/>
            </w:pPr>
            <w:r>
              <w:t xml:space="preserve">Validate before submit and surface failures in a Task. Use the returned ClaimResponse outcome/errors when available and handle thrown invocation errors separately.</w:t>
            </w:r>
            <w:r>
              <w:t xml:space="preserve"> </w:t>
            </w:r>
            <w:r>
              <w:rPr>
                <w:rStyle w:val="VerbatimChar"/>
              </w:rPr>
              <w:t xml:space="preserve">error</w:t>
            </w:r>
            <w:r>
              <w:t xml:space="preserve"> </w:t>
            </w:r>
            <w:r>
              <w:t xml:space="preserve">is not a valid R4 Claim.status; keep submission state distinct from the Claim lifecycle</w:t>
            </w:r>
          </w:p>
        </w:tc>
      </w:tr>
      <w:tr>
        <w:trPr>
          <w:cantSplit/>
        </w:trPr>
        <w:tc>
          <w:tcPr/>
          <w:p>
            <w:pPr>
              <w:pStyle w:val="Compact"/>
              <w:jc w:val="left"/>
            </w:pPr>
            <w:r>
              <w:t xml:space="preserve">Multiple channels</w:t>
            </w:r>
          </w:p>
        </w:tc>
        <w:tc>
          <w:tcPr/>
          <w:p>
            <w:pPr>
              <w:pStyle w:val="Compact"/>
              <w:jc w:val="left"/>
            </w:pPr>
            <w:r>
              <w:t xml:space="preserve">One</w:t>
            </w:r>
            <w:r>
              <w:t xml:space="preserve"> </w:t>
            </w:r>
            <w:r>
              <w:rPr>
                <w:rStyle w:val="VerbatimChar"/>
              </w:rPr>
              <w:t xml:space="preserve">Claim</w:t>
            </w:r>
            <w:r>
              <w:t xml:space="preserve"> </w:t>
            </w:r>
            <w:r>
              <w:t xml:space="preserve">is the source of truth; run separate send paths per payer without diverging content.</w:t>
            </w:r>
          </w:p>
        </w:tc>
      </w:tr>
    </w:tbl>
    <w:bookmarkStart w:id="67" w:name="decision-4"/>
    <w:bookmarkEnd w:id="67"/>
    <w:bookmarkStart w:id="68" w:name="X3e1b416e62e0a62b794ce37f87082eb35476fab"/>
    <w:bookmarkEnd w:id="68"/>
    <w:bookmarkEnd w:id="69"/>
    <w:bookmarkEnd w:id="70"/>
    <w:bookmarkStart w:id="84" w:name="payer-responses-and-accounts-receivable"/>
    <w:p>
      <w:pPr>
        <w:pStyle w:val="Heading2"/>
      </w:pPr>
      <w:r>
        <w:t xml:space="preserve">Payer responses and accounts receivable</w:t>
      </w:r>
    </w:p>
    <w:bookmarkStart w:id="71" w:name="Xb9fbbb2749fe7054dbdd6d8f5a1ce06d8c1ec95"/>
    <w:bookmarkEnd w:id="71"/>
    <w:bookmarkStart w:id="72" w:name="X1bce1313025a00cfe774fd35c4a41406c593a1f"/>
    <w:bookmarkEnd w:id="72"/>
    <w:bookmarkStart w:id="75" w:name="X746a8460f386e4026b0dff6ec24346f15027834"/>
    <w:p>
      <w:pPr>
        <w:pStyle w:val="Heading3"/>
      </w:pPr>
      <w:r>
        <w:t xml:space="preserve">How will payer responses be matched and remittances posted?</w:t>
      </w:r>
    </w:p>
    <w:p>
      <w:pPr>
        <w:pStyle w:val="FirstParagraph"/>
      </w:pPr>
      <w:r>
        <w:t xml:space="preserve">Decide how you ingest what the payer sends back (the</w:t>
      </w:r>
      <w:r>
        <w:t xml:space="preserve"> </w:t>
      </w:r>
      <w:r>
        <w:rPr>
          <w:i/>
          <w:iCs/>
        </w:rPr>
        <w:t xml:space="preserve">277CA</w:t>
      </w:r>
      <w:r>
        <w:t xml:space="preserve"> </w:t>
      </w:r>
      <w:r>
        <w:t xml:space="preserve">acknowledgment, accepted or rejected pre-adjudication, and the</w:t>
      </w:r>
      <w:r>
        <w:t xml:space="preserve"> </w:t>
      </w:r>
      <w:r>
        <w:rPr>
          <w:i/>
          <w:iCs/>
        </w:rPr>
        <w:t xml:space="preserve">835 ERA</w:t>
      </w:r>
      <w:r>
        <w:t xml:space="preserve"> </w:t>
      </w:r>
      <w:r>
        <w:t xml:space="preserve">remittance, what was paid, adjusted, or denied line by line) and how payments post. These share one pipeline, so design them together.</w:t>
      </w:r>
    </w:p>
    <w:p>
      <w:pPr>
        <w:pStyle w:val="BodyText"/>
      </w:pPr>
      <w:r>
        <w:rPr>
          <w:i/>
          <w:iCs/>
        </w:rPr>
        <w:t xml:space="preserve">On the clearinghouse path, distinguish report ingestion from adjudication interpretation and posting. Verify which steps the integration implements and build the rest. With an RCM partner, confirm its posting responsibilities and the status or task updates available to your application.</w:t>
      </w:r>
    </w:p>
    <w:p>
      <w:pPr>
        <w:pStyle w:val="BodyText"/>
      </w:pPr>
      <w:r>
        <w:rPr>
          <w:b/>
          <w:bCs/>
        </w:rPr>
        <w:t xml:space="preserve">Questions:</w:t>
      </w:r>
    </w:p>
    <w:p>
      <w:pPr>
        <w:pStyle w:val="Compact"/>
        <w:numPr>
          <w:ilvl w:val="0"/>
          <w:numId w:val="1013"/>
        </w:numPr>
      </w:pPr>
      <w:r>
        <w:t xml:space="preserve">How do responses arrive: webhook push, polling, or partner API?</w:t>
      </w:r>
    </w:p>
    <w:p>
      <w:pPr>
        <w:pStyle w:val="Compact"/>
        <w:numPr>
          <w:ilvl w:val="0"/>
          <w:numId w:val="1013"/>
        </w:numPr>
      </w:pPr>
      <w:r>
        <w:t xml:space="preserve">How do you match a response to the originating claim?</w:t>
      </w:r>
    </w:p>
    <w:p>
      <w:pPr>
        <w:pStyle w:val="Compact"/>
        <w:numPr>
          <w:ilvl w:val="0"/>
          <w:numId w:val="1013"/>
        </w:numPr>
      </w:pPr>
      <w:r>
        <w:t xml:space="preserve">How do payer payments and adjustments post to the account?</w:t>
      </w:r>
    </w:p>
    <w:p>
      <w:pPr>
        <w:pStyle w:val="Compact"/>
        <w:numPr>
          <w:ilvl w:val="0"/>
          <w:numId w:val="1013"/>
        </w:numPr>
      </w:pPr>
      <w:r>
        <w:t xml:space="preserve">What share posts automatically vs. needs review?</w:t>
      </w:r>
    </w:p>
    <w:tbl>
      <w:tblPr>
        <w:tblStyle w:val="Table"/>
        <w:tblW w:w="9360" w:type="dxa"/>
        <w:tblLayout w:type="fixed"/>
        <w:tblLook w:firstRow="1" w:lastRow="0" w:firstColumn="0" w:lastColumn="0" w:noHBand="0" w:noVBand="0" w:val="0020"/>
      </w:tblPr>
      <w:tblGrid>
        <w:gridCol w:w="3650"/>
        <w:gridCol w:w="5710"/>
      </w:tblGrid>
      <w:tr>
        <w:trPr>
          <w:cantSplit/>
          <w:tblHeader w:val="on"/>
        </w:trPr>
        <w:tc>
          <w:tcPr/>
          <w:p>
            <w:pPr>
              <w:pStyle w:val="Compact"/>
              <w:jc w:val="left"/>
            </w:pPr>
            <w:r>
              <w:t xml:space="preserve">Situation</w:t>
            </w:r>
          </w:p>
        </w:tc>
        <w:tc>
          <w:tcPr/>
          <w:p>
            <w:pPr>
              <w:pStyle w:val="Compact"/>
              <w:jc w:val="left"/>
            </w:pPr>
            <w:r>
              <w:t xml:space="preserve">Approach</w:t>
            </w:r>
          </w:p>
        </w:tc>
      </w:tr>
      <w:tr>
        <w:trPr>
          <w:cantSplit/>
        </w:trPr>
        <w:tc>
          <w:tcPr/>
          <w:p>
            <w:pPr>
              <w:pStyle w:val="Compact"/>
              <w:jc w:val="left"/>
            </w:pPr>
            <w:r>
              <w:t xml:space="preserve">Ingestion</w:t>
            </w:r>
          </w:p>
        </w:tc>
        <w:tc>
          <w:tcPr/>
          <w:p>
            <w:pPr>
              <w:pStyle w:val="Compact"/>
              <w:jc w:val="left"/>
            </w:pPr>
            <w:r>
              <w:t xml:space="preserve">Define webhook delivery, polling, and recovery of missed reports. Deduplicate by the source transaction identifier; make interpretation and posting independently idempotent</w:t>
            </w:r>
          </w:p>
        </w:tc>
      </w:tr>
      <w:tr>
        <w:trPr>
          <w:cantSplit/>
        </w:trPr>
        <w:tc>
          <w:tcPr/>
          <w:p>
            <w:pPr>
              <w:pStyle w:val="Compact"/>
              <w:jc w:val="left"/>
            </w:pPr>
            <w:r>
              <w:t xml:space="preserve">Acknowledgment (277CA)</w:t>
            </w:r>
          </w:p>
        </w:tc>
        <w:tc>
          <w:tcPr/>
          <w:p>
            <w:pPr>
              <w:pStyle w:val="Compact"/>
              <w:jc w:val="left"/>
            </w:pPr>
            <w:r>
              <w:t xml:space="preserve">Retain the raw acknowledgment, for example as a DocumentReference, and correlate it with the originating submission. Distinguish acceptance or rejection from adjudication</w:t>
            </w:r>
          </w:p>
        </w:tc>
      </w:tr>
      <w:tr>
        <w:trPr>
          <w:cantSplit/>
        </w:trPr>
        <w:tc>
          <w:tcPr/>
          <w:p>
            <w:pPr>
              <w:pStyle w:val="Compact"/>
              <w:jc w:val="left"/>
            </w:pPr>
            <w:r>
              <w:t xml:space="preserve">Remittance (835 ERA)</w:t>
            </w:r>
          </w:p>
        </w:tc>
        <w:tc>
          <w:tcPr/>
          <w:p>
            <w:pPr>
              <w:pStyle w:val="Compact"/>
              <w:jc w:val="left"/>
            </w:pPr>
            <w:r>
              <w:t xml:space="preserve">Retain source reports and map payment, adjustment, and responsibility details into your posting model. Storing a report alone does not create PaymentReconciliation resources or post money</w:t>
            </w:r>
          </w:p>
        </w:tc>
      </w:tr>
      <w:tr>
        <w:trPr>
          <w:cantSplit/>
        </w:trPr>
        <w:tc>
          <w:tcPr/>
          <w:p>
            <w:pPr>
              <w:pStyle w:val="Compact"/>
              <w:jc w:val="left"/>
            </w:pPr>
            <w:r>
              <w:t xml:space="preserve">Matching</w:t>
            </w:r>
          </w:p>
        </w:tc>
        <w:tc>
          <w:tcPr/>
          <w:p>
            <w:pPr>
              <w:pStyle w:val="Compact"/>
              <w:jc w:val="left"/>
            </w:pPr>
            <w:r>
              <w:t xml:space="preserve">Use the submission’s patient-control-number and correlation identifiers. Provide an unmatched-report queue rather than assuming every report can be linked automatically</w:t>
            </w:r>
          </w:p>
        </w:tc>
      </w:tr>
      <w:tr>
        <w:trPr>
          <w:cantSplit/>
        </w:trPr>
        <w:tc>
          <w:tcPr/>
          <w:p>
            <w:pPr>
              <w:pStyle w:val="Compact"/>
              <w:jc w:val="left"/>
            </w:pPr>
            <w:r>
              <w:t xml:space="preserve">Source claim status</w:t>
            </w:r>
          </w:p>
        </w:tc>
        <w:tc>
          <w:tcPr/>
          <w:p>
            <w:pPr>
              <w:pStyle w:val="Compact"/>
              <w:jc w:val="left"/>
            </w:pPr>
            <w:r>
              <w:t xml:space="preserve">Define where external status is stored and how it advances your workflow. Keep submission outcome, payer status, adjudication amounts, and payment posting distinct</w:t>
            </w:r>
          </w:p>
        </w:tc>
      </w:tr>
      <w:tr>
        <w:trPr>
          <w:cantSplit/>
        </w:trPr>
        <w:tc>
          <w:tcPr/>
          <w:p>
            <w:pPr>
              <w:pStyle w:val="Compact"/>
              <w:jc w:val="left"/>
            </w:pPr>
            <w:r>
              <w:t xml:space="preserve">Adjudication and posting</w:t>
            </w:r>
          </w:p>
        </w:tc>
        <w:tc>
          <w:tcPr/>
          <w:p>
            <w:pPr>
              <w:pStyle w:val="Compact"/>
              <w:jc w:val="left"/>
            </w:pPr>
            <w:r>
              <w:t xml:space="preserve">Build the report-to-ledger mapping, including line amounts, responsibility, adjustments, and reversals. If using PaymentReconciliation or additional ClaimResponses, define their role and correlation explicitly</w:t>
            </w:r>
          </w:p>
        </w:tc>
      </w:tr>
      <w:tr>
        <w:trPr>
          <w:cantSplit/>
        </w:trPr>
        <w:tc>
          <w:tcPr/>
          <w:p>
            <w:pPr>
              <w:pStyle w:val="Compact"/>
              <w:jc w:val="left"/>
            </w:pPr>
            <w:r>
              <w:t xml:space="preserve">Review</w:t>
            </w:r>
          </w:p>
        </w:tc>
        <w:tc>
          <w:tcPr/>
          <w:p>
            <w:pPr>
              <w:pStyle w:val="Compact"/>
              <w:jc w:val="left"/>
            </w:pPr>
            <w:r>
              <w:t xml:space="preserve">Auto-post only after the application’s validation and reconciliation rules pass; route mismatches and ambiguous reports to a Task</w:t>
            </w:r>
          </w:p>
        </w:tc>
      </w:tr>
    </w:tbl>
    <w:bookmarkStart w:id="73" w:name="Xa2be6aa00ef2c85c6c2682f8a9dc63834cd2d62"/>
    <w:bookmarkEnd w:id="73"/>
    <w:bookmarkStart w:id="74" w:name="Xb649a2adb7f4388ef227a82e90094654d531351"/>
    <w:bookmarkEnd w:id="74"/>
    <w:bookmarkEnd w:id="75"/>
    <w:bookmarkStart w:id="78" w:name="Xf46c4c29a90f7fd4ac180a91d29dd8f9415c6f0"/>
    <w:p>
      <w:pPr>
        <w:pStyle w:val="Heading3"/>
      </w:pPr>
      <w:r>
        <w:t xml:space="preserve">Who works rejections, denials, resubmissions, and appeals?</w:t>
      </w:r>
    </w:p>
    <w:p>
      <w:pPr>
        <w:pStyle w:val="FirstParagraph"/>
      </w:pPr>
      <w:r>
        <w:t xml:space="preserve">Decide how you work claims the payer rejects or denies: correcting and resubmitting, or appealing.</w:t>
      </w:r>
    </w:p>
    <w:p>
      <w:pPr>
        <w:pStyle w:val="BodyText"/>
      </w:pPr>
      <w:r>
        <w:rPr>
          <w:i/>
          <w:iCs/>
        </w:rPr>
        <w:t xml:space="preserve">Note: The rows below are one FHIR approach to denial handling; validate against your workflow. On the clearinghouse path you build this in Medplum; with an RCM partner, confirm how its denial work and status changes surface back in your application.</w:t>
      </w:r>
    </w:p>
    <w:p>
      <w:pPr>
        <w:pStyle w:val="BodyText"/>
      </w:pPr>
      <w:r>
        <w:rPr>
          <w:b/>
          <w:bCs/>
        </w:rPr>
        <w:t xml:space="preserve">Questions:</w:t>
      </w:r>
    </w:p>
    <w:p>
      <w:pPr>
        <w:pStyle w:val="Compact"/>
        <w:numPr>
          <w:ilvl w:val="0"/>
          <w:numId w:val="1014"/>
        </w:numPr>
      </w:pPr>
      <w:r>
        <w:t xml:space="preserve">Do you work front-end rejections (277CA) differently from adjudicated denials (835)?</w:t>
      </w:r>
    </w:p>
    <w:p>
      <w:pPr>
        <w:pStyle w:val="Compact"/>
        <w:numPr>
          <w:ilvl w:val="0"/>
          <w:numId w:val="1014"/>
        </w:numPr>
      </w:pPr>
      <w:r>
        <w:t xml:space="preserve">When you fix and resend, is it a corrected claim or a fresh submission?</w:t>
      </w:r>
    </w:p>
    <w:p>
      <w:pPr>
        <w:pStyle w:val="Compact"/>
        <w:numPr>
          <w:ilvl w:val="0"/>
          <w:numId w:val="1014"/>
        </w:numPr>
      </w:pPr>
      <w:r>
        <w:t xml:space="preserve">Do you track appeals (deadlines, supporting documentation, outcome)?</w:t>
      </w:r>
    </w:p>
    <w:p>
      <w:pPr>
        <w:pStyle w:val="Compact"/>
        <w:numPr>
          <w:ilvl w:val="0"/>
          <w:numId w:val="1014"/>
        </w:numPr>
      </w:pPr>
      <w:r>
        <w:t xml:space="preserve">How do staff find claims that need work?</w:t>
      </w:r>
    </w:p>
    <w:tbl>
      <w:tblPr>
        <w:tblStyle w:val="Table"/>
        <w:tblW w:w="9360" w:type="dxa"/>
        <w:tblLayout w:type="fixed"/>
        <w:tblLook w:firstRow="1" w:lastRow="0" w:firstColumn="0" w:lastColumn="0" w:noHBand="0" w:noVBand="0" w:val="0020"/>
      </w:tblPr>
      <w:tblGrid>
        <w:gridCol w:w="3887"/>
        <w:gridCol w:w="5473"/>
      </w:tblGrid>
      <w:tr>
        <w:trPr>
          <w:cantSplit/>
          <w:tblHeader w:val="on"/>
        </w:trPr>
        <w:tc>
          <w:tcPr/>
          <w:p>
            <w:pPr>
              <w:pStyle w:val="Compact"/>
              <w:jc w:val="left"/>
            </w:pPr>
            <w:r>
              <w:t xml:space="preserve">Situation</w:t>
            </w:r>
          </w:p>
        </w:tc>
        <w:tc>
          <w:tcPr/>
          <w:p>
            <w:pPr>
              <w:pStyle w:val="Compact"/>
              <w:jc w:val="left"/>
            </w:pPr>
            <w:r>
              <w:t xml:space="preserve">Approach</w:t>
            </w:r>
          </w:p>
        </w:tc>
      </w:tr>
      <w:tr>
        <w:trPr>
          <w:cantSplit/>
        </w:trPr>
        <w:tc>
          <w:tcPr/>
          <w:p>
            <w:pPr>
              <w:pStyle w:val="Compact"/>
              <w:jc w:val="left"/>
            </w:pPr>
            <w:r>
              <w:t xml:space="preserve">Surface denials</w:t>
            </w:r>
          </w:p>
        </w:tc>
        <w:tc>
          <w:tcPr/>
          <w:p>
            <w:pPr>
              <w:pStyle w:val="Compact"/>
              <w:jc w:val="left"/>
            </w:pPr>
            <w:r>
              <w:t xml:space="preserve">Interpret rejection or denial detail from the submission response and stored payer reports (</w:t>
            </w:r>
            <w:hyperlink w:anchor="X746a8460f386e4026b0dff6ec24346f15027834">
              <w:r>
                <w:rPr>
                  <w:rStyle w:val="Hyperlink"/>
                </w:rPr>
                <w:t xml:space="preserve">Responses and posting</w:t>
              </w:r>
            </w:hyperlink>
            <w:r>
              <w:t xml:space="preserve">); create a Task work queue for the biller</w:t>
            </w:r>
          </w:p>
        </w:tc>
      </w:tr>
      <w:tr>
        <w:trPr>
          <w:cantSplit/>
        </w:trPr>
        <w:tc>
          <w:tcPr/>
          <w:p>
            <w:pPr>
              <w:pStyle w:val="Compact"/>
              <w:jc w:val="left"/>
            </w:pPr>
            <w:r>
              <w:t xml:space="preserve">Corrected claim</w:t>
            </w:r>
          </w:p>
        </w:tc>
        <w:tc>
          <w:tcPr/>
          <w:p>
            <w:pPr>
              <w:pStyle w:val="Compact"/>
              <w:jc w:val="left"/>
            </w:pPr>
            <w:r>
              <w:t xml:space="preserve">Resubmit a corrected</w:t>
            </w:r>
            <w:r>
              <w:t xml:space="preserve"> </w:t>
            </w:r>
            <w:r>
              <w:rPr>
                <w:rStyle w:val="VerbatimChar"/>
              </w:rPr>
              <w:t xml:space="preserve">Claim</w:t>
            </w:r>
            <w:r>
              <w:t xml:space="preserve"> </w:t>
            </w:r>
            <w:r>
              <w:t xml:space="preserve">linked to the original (</w:t>
            </w:r>
            <w:r>
              <w:rPr>
                <w:rStyle w:val="VerbatimChar"/>
              </w:rPr>
              <w:t xml:space="preserve">Claim.related</w:t>
            </w:r>
            <w:r>
              <w:t xml:space="preserve">), via the same backend (</w:t>
            </w:r>
            <w:hyperlink w:anchor="X77391c27292ca82bfebfaeadf8459f044332849">
              <w:r>
                <w:rPr>
                  <w:rStyle w:val="Hyperlink"/>
                </w:rPr>
                <w:t xml:space="preserve">Claim submission</w:t>
              </w:r>
            </w:hyperlink>
            <w:r>
              <w:t xml:space="preserve">).</w:t>
            </w:r>
          </w:p>
        </w:tc>
      </w:tr>
      <w:tr>
        <w:trPr>
          <w:cantSplit/>
        </w:trPr>
        <w:tc>
          <w:tcPr/>
          <w:p>
            <w:pPr>
              <w:pStyle w:val="Compact"/>
              <w:jc w:val="left"/>
            </w:pPr>
            <w:r>
              <w:t xml:space="preserve">Retry a rejected submission</w:t>
            </w:r>
          </w:p>
        </w:tc>
        <w:tc>
          <w:tcPr/>
          <w:p>
            <w:pPr>
              <w:pStyle w:val="Compact"/>
              <w:jc w:val="left"/>
            </w:pPr>
            <w:r>
              <w:t xml:space="preserve">Check the route’s retry and duplicate-submission behavior. Preserve prior responses and submission history; do not delete active ClaimResponses simply to bypass a guard. An accepted submission needs a deliberate correction workflow</w:t>
            </w:r>
          </w:p>
        </w:tc>
      </w:tr>
      <w:tr>
        <w:trPr>
          <w:cantSplit/>
        </w:trPr>
        <w:tc>
          <w:tcPr/>
          <w:p>
            <w:pPr>
              <w:pStyle w:val="Compact"/>
              <w:jc w:val="left"/>
            </w:pPr>
            <w:r>
              <w:t xml:space="preserve">Appeals</w:t>
            </w:r>
          </w:p>
        </w:tc>
        <w:tc>
          <w:tcPr/>
          <w:p>
            <w:pPr>
              <w:pStyle w:val="Compact"/>
              <w:jc w:val="left"/>
            </w:pPr>
            <w:r>
              <w:t xml:space="preserve">Track as a</w:t>
            </w:r>
            <w:r>
              <w:t xml:space="preserve"> </w:t>
            </w:r>
            <w:r>
              <w:rPr>
                <w:rStyle w:val="VerbatimChar"/>
              </w:rPr>
              <w:t xml:space="preserve">Task</w:t>
            </w:r>
            <w:r>
              <w:t xml:space="preserve"> </w:t>
            </w:r>
            <w:r>
              <w:t xml:space="preserve">with deadlines; attach supporting docs as</w:t>
            </w:r>
            <w:r>
              <w:t xml:space="preserve"> </w:t>
            </w:r>
            <w:r>
              <w:rPr>
                <w:rStyle w:val="VerbatimChar"/>
              </w:rPr>
              <w:t xml:space="preserve">DocumentReference</w:t>
            </w:r>
            <w:r>
              <w:t xml:space="preserve">.</w:t>
            </w:r>
          </w:p>
        </w:tc>
      </w:tr>
      <w:tr>
        <w:trPr>
          <w:cantSplit/>
        </w:trPr>
        <w:tc>
          <w:tcPr/>
          <w:p>
            <w:pPr>
              <w:pStyle w:val="Compact"/>
              <w:jc w:val="left"/>
            </w:pPr>
            <w:r>
              <w:t xml:space="preserve">Find work</w:t>
            </w:r>
          </w:p>
        </w:tc>
        <w:tc>
          <w:tcPr/>
          <w:p>
            <w:pPr>
              <w:pStyle w:val="Compact"/>
              <w:jc w:val="left"/>
            </w:pPr>
            <w:r>
              <w:t xml:space="preserve">Search over open denial</w:t>
            </w:r>
            <w:r>
              <w:t xml:space="preserve"> </w:t>
            </w:r>
            <w:r>
              <w:rPr>
                <w:rStyle w:val="VerbatimChar"/>
              </w:rPr>
              <w:t xml:space="preserve">Task</w:t>
            </w:r>
            <w:r>
              <w:t xml:space="preserve">s (</w:t>
            </w:r>
            <w:hyperlink w:anchor="X3429ee957dacc59b7a0ff7e79e7186185b7175c">
              <w:r>
                <w:rPr>
                  <w:rStyle w:val="Hyperlink"/>
                </w:rPr>
                <w:t xml:space="preserve">AR and reporting</w:t>
              </w:r>
            </w:hyperlink>
            <w:r>
              <w:t xml:space="preserve">).</w:t>
            </w:r>
          </w:p>
        </w:tc>
      </w:tr>
      <w:tr>
        <w:trPr>
          <w:cantSplit/>
        </w:trPr>
        <w:tc>
          <w:tcPr/>
          <w:p>
            <w:pPr>
              <w:pStyle w:val="Compact"/>
              <w:jc w:val="left"/>
            </w:pPr>
            <w:r>
              <w:t xml:space="preserve">Partner-owned</w:t>
            </w:r>
          </w:p>
        </w:tc>
        <w:tc>
          <w:tcPr/>
          <w:p>
            <w:pPr>
              <w:pStyle w:val="Compact"/>
              <w:jc w:val="left"/>
            </w:pPr>
            <w:r>
              <w:t xml:space="preserve">Agree who works denials and resubmission, which exceptions return to your team, and how status or task updates enter Medplum.</w:t>
            </w:r>
          </w:p>
        </w:tc>
      </w:tr>
    </w:tbl>
    <w:bookmarkStart w:id="76" w:name="X5c36715231e93f8ccec436c8892b15ed38df8a1"/>
    <w:bookmarkEnd w:id="76"/>
    <w:bookmarkStart w:id="77" w:name="Xfbe1d0eb9257a0b9ed0c92831981c658d5d8d30"/>
    <w:bookmarkEnd w:id="77"/>
    <w:bookmarkEnd w:id="78"/>
    <w:bookmarkStart w:id="83" w:name="X3429ee957dacc59b7a0ff7e79e7186185b7175c"/>
    <w:p>
      <w:pPr>
        <w:pStyle w:val="Heading3"/>
      </w:pPr>
      <w:r>
        <w:t xml:space="preserve">How will staff track balances, aging, and unresolved work?</w:t>
      </w:r>
    </w:p>
    <w:p>
      <w:pPr>
        <w:pStyle w:val="FirstParagraph"/>
      </w:pPr>
      <w:r>
        <w:t xml:space="preserve">Decide how you track where every claim and balance sits, and how staff find work that’s stuck or overdue.</w:t>
      </w:r>
    </w:p>
    <w:p>
      <w:pPr>
        <w:pStyle w:val="BodyText"/>
      </w:pPr>
      <w:r>
        <w:rPr>
          <w:i/>
          <w:iCs/>
        </w:rPr>
        <w:t xml:space="preserve">Note: The rows below are one FHIR approach to AR tracking; validate against your reporting needs. Most relevant on the clearinghouse path; an RCM partner owns AR and reporting.</w:t>
      </w:r>
    </w:p>
    <w:p>
      <w:pPr>
        <w:pStyle w:val="BodyText"/>
      </w:pPr>
      <w:r>
        <w:rPr>
          <w:b/>
          <w:bCs/>
        </w:rPr>
        <w:t xml:space="preserve">Questions:</w:t>
      </w:r>
    </w:p>
    <w:p>
      <w:pPr>
        <w:pStyle w:val="Compact"/>
        <w:numPr>
          <w:ilvl w:val="0"/>
          <w:numId w:val="1015"/>
        </w:numPr>
      </w:pPr>
      <w:r>
        <w:t xml:space="preserve">What lifecycle states matter (e.g. draft → submitted → accepted → paid → denied → closed)?</w:t>
      </w:r>
    </w:p>
    <w:p>
      <w:pPr>
        <w:pStyle w:val="Compact"/>
        <w:numPr>
          <w:ilvl w:val="0"/>
          <w:numId w:val="1015"/>
        </w:numPr>
      </w:pPr>
      <w:r>
        <w:t xml:space="preserve">How do you standardize states so queues, reports, and integrations agree?</w:t>
      </w:r>
    </w:p>
    <w:p>
      <w:pPr>
        <w:pStyle w:val="Compact"/>
        <w:numPr>
          <w:ilvl w:val="0"/>
          <w:numId w:val="1015"/>
        </w:numPr>
      </w:pPr>
      <w:r>
        <w:t xml:space="preserve">Do you track aging (days since submission, days pending) and AR buckets?</w:t>
      </w:r>
    </w:p>
    <w:p>
      <w:pPr>
        <w:pStyle w:val="Compact"/>
        <w:numPr>
          <w:ilvl w:val="0"/>
          <w:numId w:val="1015"/>
        </w:numPr>
      </w:pPr>
      <w:r>
        <w:t xml:space="preserve">How do staff find overdue or stuck claims and balances?</w:t>
      </w:r>
    </w:p>
    <w:tbl>
      <w:tblPr>
        <w:tblStyle w:val="Table"/>
        <w:tblW w:w="9360" w:type="dxa"/>
        <w:tblLayout w:type="fixed"/>
        <w:tblLook w:firstRow="1" w:lastRow="0" w:firstColumn="0" w:lastColumn="0" w:noHBand="0" w:noVBand="0" w:val="0020"/>
      </w:tblPr>
      <w:tblGrid>
        <w:gridCol w:w="2880"/>
        <w:gridCol w:w="6480"/>
      </w:tblGrid>
      <w:tr>
        <w:trPr>
          <w:cantSplit/>
          <w:tblHeader w:val="on"/>
        </w:trPr>
        <w:tc>
          <w:tcPr/>
          <w:p>
            <w:pPr>
              <w:pStyle w:val="Compact"/>
              <w:jc w:val="left"/>
            </w:pPr>
            <w:r>
              <w:t xml:space="preserve">Situation</w:t>
            </w:r>
          </w:p>
        </w:tc>
        <w:tc>
          <w:tcPr/>
          <w:p>
            <w:pPr>
              <w:pStyle w:val="Compact"/>
              <w:jc w:val="left"/>
            </w:pPr>
            <w:r>
              <w:t xml:space="preserve">Approach</w:t>
            </w:r>
          </w:p>
        </w:tc>
      </w:tr>
      <w:tr>
        <w:trPr>
          <w:cantSplit/>
        </w:trPr>
        <w:tc>
          <w:tcPr/>
          <w:p>
            <w:pPr>
              <w:pStyle w:val="Compact"/>
              <w:jc w:val="left"/>
            </w:pPr>
            <w:r>
              <w:t xml:space="preserve">Lifecycle states</w:t>
            </w:r>
          </w:p>
        </w:tc>
        <w:tc>
          <w:tcPr/>
          <w:p>
            <w:pPr>
              <w:pStyle w:val="Compact"/>
              <w:jc w:val="left"/>
            </w:pPr>
            <w:r>
              <w:t xml:space="preserve">Track progress with</w:t>
            </w:r>
            <w:r>
              <w:t xml:space="preserve"> </w:t>
            </w:r>
            <w:r>
              <w:rPr>
                <w:rStyle w:val="VerbatimChar"/>
              </w:rPr>
              <w:t xml:space="preserve">Task.businessStatus</w:t>
            </w:r>
            <w:r>
              <w:t xml:space="preserve">; move</w:t>
            </w:r>
            <w:r>
              <w:t xml:space="preserve"> </w:t>
            </w:r>
            <w:r>
              <w:rPr>
                <w:rStyle w:val="VerbatimChar"/>
              </w:rPr>
              <w:t xml:space="preserve">Task.status</w:t>
            </w:r>
            <w:r>
              <w:t xml:space="preserve"> </w:t>
            </w:r>
            <w:r>
              <w:t xml:space="preserve">on clear transitions. Keep the state set small and single-sourced.</w:t>
            </w:r>
          </w:p>
        </w:tc>
      </w:tr>
      <w:tr>
        <w:trPr>
          <w:cantSplit/>
        </w:trPr>
        <w:tc>
          <w:tcPr/>
          <w:p>
            <w:pPr>
              <w:pStyle w:val="Compact"/>
              <w:jc w:val="left"/>
            </w:pPr>
            <w:r>
              <w:t xml:space="preserve">External signals</w:t>
            </w:r>
          </w:p>
        </w:tc>
        <w:tc>
          <w:tcPr/>
          <w:p>
            <w:pPr>
              <w:pStyle w:val="Compact"/>
              <w:jc w:val="left"/>
            </w:pPr>
            <w:r>
              <w:t xml:space="preserve">Bots interpret submission responses and payer reports, then advance the appropriate workflow stage. Keep accepted, adjudicated, and posted states distinct</w:t>
            </w:r>
          </w:p>
        </w:tc>
      </w:tr>
      <w:tr>
        <w:trPr>
          <w:cantSplit/>
        </w:trPr>
        <w:tc>
          <w:tcPr/>
          <w:p>
            <w:pPr>
              <w:pStyle w:val="Compact"/>
              <w:jc w:val="left"/>
            </w:pPr>
            <w:r>
              <w:t xml:space="preserve">Aging &amp; AR</w:t>
            </w:r>
          </w:p>
        </w:tc>
        <w:tc>
          <w:tcPr/>
          <w:p>
            <w:pPr>
              <w:pStyle w:val="Compact"/>
              <w:jc w:val="left"/>
            </w:pPr>
            <w:r>
              <w:t xml:space="preserve">Record submission and stage-entry times, derive stage intervals from history or explicit transition records, and age calculated outstanding balances.</w:t>
            </w:r>
            <w:r>
              <w:t xml:space="preserve"> </w:t>
            </w:r>
            <w:r>
              <w:rPr>
                <w:rStyle w:val="VerbatimChar"/>
              </w:rPr>
              <w:t xml:space="preserve">Claim.created</w:t>
            </w:r>
            <w:r>
              <w:t xml:space="preserve"> </w:t>
            </w:r>
            <w:r>
              <w:t xml:space="preserve">is not submission time;</w:t>
            </w:r>
            <w:r>
              <w:t xml:space="preserve"> </w:t>
            </w:r>
            <w:r>
              <w:rPr>
                <w:rStyle w:val="VerbatimChar"/>
              </w:rPr>
              <w:t xml:space="preserve">Task.lastModified</w:t>
            </w:r>
            <w:r>
              <w:t xml:space="preserve"> </w:t>
            </w:r>
            <w:r>
              <w:t xml:space="preserve">may reflect unrelated edits</w:t>
            </w:r>
          </w:p>
        </w:tc>
      </w:tr>
      <w:tr>
        <w:trPr>
          <w:cantSplit/>
        </w:trPr>
        <w:tc>
          <w:tcPr/>
          <w:p>
            <w:pPr>
              <w:pStyle w:val="Compact"/>
              <w:jc w:val="left"/>
            </w:pPr>
            <w:r>
              <w:t xml:space="preserve">Overdue work</w:t>
            </w:r>
          </w:p>
        </w:tc>
        <w:tc>
          <w:tcPr/>
          <w:p>
            <w:pPr>
              <w:pStyle w:val="Compact"/>
              <w:jc w:val="left"/>
            </w:pPr>
            <w:r>
              <w:t xml:space="preserve">Scheduled</w:t>
            </w:r>
            <w:r>
              <w:t xml:space="preserve"> </w:t>
            </w:r>
            <w:r>
              <w:rPr>
                <w:rStyle w:val="VerbatimChar"/>
              </w:rPr>
              <w:t xml:space="preserve">Bot</w:t>
            </w:r>
            <w:r>
              <w:t xml:space="preserve">s or subscriptions flag items past an SLA into work queues.</w:t>
            </w:r>
          </w:p>
        </w:tc>
      </w:tr>
    </w:tbl>
    <w:bookmarkStart w:id="79" w:name="patient--operations"/>
    <w:bookmarkEnd w:id="79"/>
    <w:bookmarkStart w:id="80" w:name="X55452fd7d46a847a55d78152e5702f7bab76b7a"/>
    <w:bookmarkEnd w:id="80"/>
    <w:bookmarkStart w:id="81" w:name="decision-5"/>
    <w:bookmarkEnd w:id="81"/>
    <w:bookmarkStart w:id="82" w:name="Xc6aae7e6c9c7489b86f947f7e10184c2ba0866a"/>
    <w:bookmarkEnd w:id="82"/>
    <w:bookmarkEnd w:id="83"/>
    <w:bookmarkEnd w:id="84"/>
    <w:bookmarkStart w:id="90" w:name="how-will-patients-be-billed"/>
    <w:p>
      <w:pPr>
        <w:pStyle w:val="Heading2"/>
      </w:pPr>
      <w:r>
        <w:t xml:space="preserve">How will patients be billed?</w:t>
      </w:r>
    </w:p>
    <w:p>
      <w:pPr>
        <w:pStyle w:val="FirstParagraph"/>
      </w:pPr>
      <w:r>
        <w:t xml:space="preserve">Decide how you bill patients for their share (copays, coinsurance, deductibles, full self-pay) and how they pay.</w:t>
      </w:r>
    </w:p>
    <w:p>
      <w:pPr>
        <w:pStyle w:val="BodyText"/>
      </w:pPr>
      <w:r>
        <w:rPr>
          <w:b/>
          <w:bCs/>
        </w:rPr>
        <w:t xml:space="preserve">Questions:</w:t>
      </w:r>
    </w:p>
    <w:p>
      <w:pPr>
        <w:pStyle w:val="Compact"/>
        <w:numPr>
          <w:ilvl w:val="0"/>
          <w:numId w:val="1016"/>
        </w:numPr>
      </w:pPr>
      <w:r>
        <w:t xml:space="preserve">What balances do you bill: post-adjudication responsibility, self-pay, or both?</w:t>
      </w:r>
    </w:p>
    <w:p>
      <w:pPr>
        <w:pStyle w:val="Compact"/>
        <w:numPr>
          <w:ilvl w:val="0"/>
          <w:numId w:val="1016"/>
        </w:numPr>
      </w:pPr>
      <w:r>
        <w:t xml:space="preserve">Will you collect self-pay directly or delegate it to a billing partner?</w:t>
      </w:r>
    </w:p>
    <w:p>
      <w:pPr>
        <w:pStyle w:val="Compact"/>
        <w:numPr>
          <w:ilvl w:val="0"/>
          <w:numId w:val="1016"/>
        </w:numPr>
      </w:pPr>
      <w:r>
        <w:t xml:space="preserve">Do you issue statements, and on what cadence?</w:t>
      </w:r>
    </w:p>
    <w:p>
      <w:pPr>
        <w:pStyle w:val="Compact"/>
        <w:numPr>
          <w:ilvl w:val="0"/>
          <w:numId w:val="1016"/>
        </w:numPr>
      </w:pPr>
      <w:r>
        <w:t xml:space="preserve">Do you take online payment / card on file, through which processor?</w:t>
      </w:r>
    </w:p>
    <w:p>
      <w:pPr>
        <w:pStyle w:val="Compact"/>
        <w:numPr>
          <w:ilvl w:val="0"/>
          <w:numId w:val="1016"/>
        </w:numPr>
      </w:pPr>
      <w:r>
        <w:t xml:space="preserve">For out-of-network patients, do you provide a superbill instead of billing the payer?</w:t>
      </w:r>
    </w:p>
    <w:tbl>
      <w:tblPr>
        <w:tblStyle w:val="Table"/>
        <w:tblW w:w="9360" w:type="dxa"/>
        <w:tblLayout w:type="fixed"/>
        <w:tblLook w:firstRow="1" w:lastRow="0" w:firstColumn="0" w:lastColumn="0" w:noHBand="0" w:noVBand="0" w:val="0020"/>
      </w:tblPr>
      <w:tblGrid>
        <w:gridCol w:w="3654"/>
        <w:gridCol w:w="5706"/>
      </w:tblGrid>
      <w:tr>
        <w:trPr>
          <w:cantSplit/>
          <w:tblHeader w:val="on"/>
        </w:trPr>
        <w:tc>
          <w:tcPr/>
          <w:p>
            <w:pPr>
              <w:pStyle w:val="Compact"/>
              <w:jc w:val="left"/>
            </w:pPr>
            <w:r>
              <w:t xml:space="preserve">Situation</w:t>
            </w:r>
          </w:p>
        </w:tc>
        <w:tc>
          <w:tcPr/>
          <w:p>
            <w:pPr>
              <w:pStyle w:val="Compact"/>
              <w:jc w:val="left"/>
            </w:pPr>
            <w:r>
              <w:t xml:space="preserve">Approach</w:t>
            </w:r>
          </w:p>
        </w:tc>
      </w:tr>
      <w:tr>
        <w:trPr>
          <w:cantSplit/>
        </w:trPr>
        <w:tc>
          <w:tcPr/>
          <w:p>
            <w:pPr>
              <w:pStyle w:val="Compact"/>
              <w:jc w:val="left"/>
            </w:pPr>
            <w:r>
              <w:t xml:space="preserve">Patient balance</w:t>
            </w:r>
          </w:p>
        </w:tc>
        <w:tc>
          <w:tcPr/>
          <w:p>
            <w:pPr>
              <w:pStyle w:val="Compact"/>
              <w:jc w:val="left"/>
            </w:pPr>
            <w:r>
              <w:rPr>
                <w:rStyle w:val="VerbatimChar"/>
              </w:rPr>
              <w:t xml:space="preserve">Invoice</w:t>
            </w:r>
            <w:r>
              <w:t xml:space="preserve"> </w:t>
            </w:r>
            <w:r>
              <w:t xml:space="preserve">for patient-owed amounts rolling to the</w:t>
            </w:r>
            <w:r>
              <w:t xml:space="preserve"> </w:t>
            </w:r>
            <w:r>
              <w:rPr>
                <w:rStyle w:val="VerbatimChar"/>
              </w:rPr>
              <w:t xml:space="preserve">Account</w:t>
            </w:r>
            <w:r>
              <w:t xml:space="preserve"> </w:t>
            </w:r>
            <w:r>
              <w:t xml:space="preserve">(</w:t>
            </w:r>
            <w:hyperlink w:anchor="X84d27e546a844b13b2da6fb283b1c564dbc85a9">
              <w:r>
                <w:rPr>
                  <w:rStyle w:val="Hyperlink"/>
                </w:rPr>
                <w:t xml:space="preserve">Accounts</w:t>
              </w:r>
            </w:hyperlink>
            <w:r>
              <w:t xml:space="preserve">); responsibility from remittance (</w:t>
            </w:r>
            <w:hyperlink w:anchor="X746a8460f386e4026b0dff6ec24346f15027834">
              <w:r>
                <w:rPr>
                  <w:rStyle w:val="Hyperlink"/>
                </w:rPr>
                <w:t xml:space="preserve">Responses and posting</w:t>
              </w:r>
            </w:hyperlink>
            <w:r>
              <w:t xml:space="preserve">) or self-pay pricing (</w:t>
            </w:r>
            <w:hyperlink w:anchor="Xd34c8bd9b45e8c621656c0823a1821cd0407119">
              <w:r>
                <w:rPr>
                  <w:rStyle w:val="Hyperlink"/>
                </w:rPr>
                <w:t xml:space="preserve">Charge capture</w:t>
              </w:r>
            </w:hyperlink>
            <w:r>
              <w:t xml:space="preserve">).</w:t>
            </w:r>
          </w:p>
        </w:tc>
      </w:tr>
      <w:tr>
        <w:trPr>
          <w:cantSplit/>
        </w:trPr>
        <w:tc>
          <w:tcPr/>
          <w:p>
            <w:pPr>
              <w:pStyle w:val="Compact"/>
              <w:jc w:val="left"/>
            </w:pPr>
            <w:r>
              <w:t xml:space="preserve">Online payment</w:t>
            </w:r>
          </w:p>
        </w:tc>
        <w:tc>
          <w:tcPr/>
          <w:p>
            <w:pPr>
              <w:pStyle w:val="Compact"/>
              <w:jc w:val="left"/>
            </w:pPr>
            <w:r>
              <w:t xml:space="preserve">Integrate a payment processor; a</w:t>
            </w:r>
            <w:r>
              <w:t xml:space="preserve"> </w:t>
            </w:r>
            <w:hyperlink r:id="rId85">
              <w:r>
                <w:rPr>
                  <w:rStyle w:val="Hyperlink"/>
                </w:rPr>
                <w:t xml:space="preserve">sample integration</w:t>
              </w:r>
            </w:hyperlink>
            <w:r>
              <w:t xml:space="preserve"> </w:t>
            </w:r>
            <w:r>
              <w:t xml:space="preserve">shows keeping invoices and payments in sync.</w:t>
            </w:r>
          </w:p>
        </w:tc>
      </w:tr>
      <w:tr>
        <w:trPr>
          <w:cantSplit/>
        </w:trPr>
        <w:tc>
          <w:tcPr/>
          <w:p>
            <w:pPr>
              <w:pStyle w:val="Compact"/>
              <w:jc w:val="left"/>
            </w:pPr>
            <w:r>
              <w:t xml:space="preserve">Direct self-pay / cash</w:t>
            </w:r>
          </w:p>
        </w:tc>
        <w:tc>
          <w:tcPr/>
          <w:p>
            <w:pPr>
              <w:pStyle w:val="Compact"/>
              <w:jc w:val="left"/>
            </w:pPr>
            <w:r>
              <w:t xml:space="preserve">Price via</w:t>
            </w:r>
            <w:r>
              <w:t xml:space="preserve"> </w:t>
            </w:r>
            <w:r>
              <w:rPr>
                <w:rStyle w:val="VerbatimChar"/>
              </w:rPr>
              <w:t xml:space="preserve">ChargeItemDefinition</w:t>
            </w:r>
            <w:r>
              <w:t xml:space="preserve">/</w:t>
            </w:r>
            <w:r>
              <w:rPr>
                <w:rStyle w:val="VerbatimChar"/>
              </w:rPr>
              <w:t xml:space="preserve">$apply</w:t>
            </w:r>
            <w:r>
              <w:t xml:space="preserve"> </w:t>
            </w:r>
            <w:r>
              <w:t xml:space="preserve">(</w:t>
            </w:r>
            <w:hyperlink w:anchor="Xd34c8bd9b45e8c621656c0823a1821cd0407119">
              <w:r>
                <w:rPr>
                  <w:rStyle w:val="Hyperlink"/>
                </w:rPr>
                <w:t xml:space="preserve">Charge capture</w:t>
              </w:r>
            </w:hyperlink>
            <w:r>
              <w:t xml:space="preserve">) and invoice the patient directly; no payer claim</w:t>
            </w:r>
          </w:p>
        </w:tc>
      </w:tr>
      <w:tr>
        <w:trPr>
          <w:cantSplit/>
        </w:trPr>
        <w:tc>
          <w:tcPr/>
          <w:p>
            <w:pPr>
              <w:pStyle w:val="Compact"/>
              <w:jc w:val="left"/>
            </w:pPr>
            <w:r>
              <w:t xml:space="preserve">Partner-managed self-pay</w:t>
            </w:r>
          </w:p>
        </w:tc>
        <w:tc>
          <w:tcPr/>
          <w:p>
            <w:pPr>
              <w:pStyle w:val="Compact"/>
              <w:jc w:val="left"/>
            </w:pPr>
            <w:r>
              <w:t xml:space="preserve">Confirm the partner’s encounter/charge submission format and how it represents self-pay responsibility. If that format uses a FHIR Claim, distinguish this data handoff from an insurance claim sent to a payer</w:t>
            </w:r>
          </w:p>
        </w:tc>
      </w:tr>
      <w:tr>
        <w:trPr>
          <w:cantSplit/>
        </w:trPr>
        <w:tc>
          <w:tcPr/>
          <w:p>
            <w:pPr>
              <w:pStyle w:val="Compact"/>
              <w:jc w:val="left"/>
            </w:pPr>
            <w:r>
              <w:t xml:space="preserve">Out-of-network</w:t>
            </w:r>
          </w:p>
        </w:tc>
        <w:tc>
          <w:tcPr/>
          <w:p>
            <w:pPr>
              <w:pStyle w:val="Compact"/>
              <w:jc w:val="left"/>
            </w:pPr>
            <w:r>
              <w:t xml:space="preserve">Provide a superbill (</w:t>
            </w:r>
            <w:hyperlink w:anchor="X77391c27292ca82bfebfaeadf8459f044332849">
              <w:r>
                <w:rPr>
                  <w:rStyle w:val="Hyperlink"/>
                </w:rPr>
                <w:t xml:space="preserve">Claim submission</w:t>
              </w:r>
            </w:hyperlink>
            <w:r>
              <w:t xml:space="preserve">) for the patient to submit for reimbursement.</w:t>
            </w:r>
          </w:p>
        </w:tc>
      </w:tr>
    </w:tbl>
    <w:bookmarkStart w:id="86" w:name="value-based"/>
    <w:bookmarkEnd w:id="86"/>
    <w:bookmarkStart w:id="87" w:name="X9911c84930e1648087bd00c0565fe1a5f4d0d09"/>
    <w:bookmarkEnd w:id="87"/>
    <w:bookmarkStart w:id="88" w:name="decision-6"/>
    <w:bookmarkEnd w:id="88"/>
    <w:bookmarkStart w:id="89" w:name="X181d1e2ea754c72a01b97185ff175e22cfab36f"/>
    <w:bookmarkEnd w:id="89"/>
    <w:bookmarkEnd w:id="90"/>
    <w:bookmarkStart w:id="93" w:name="how-will-value-based-contracts-work"/>
    <w:p>
      <w:pPr>
        <w:pStyle w:val="Heading2"/>
      </w:pPr>
      <w:r>
        <w:t xml:space="preserve">How will value-based contracts work?</w:t>
      </w:r>
    </w:p>
    <w:p>
      <w:pPr>
        <w:pStyle w:val="FirstParagraph"/>
      </w:pPr>
      <w:r>
        <w:t xml:space="preserve">Value-based care isn’t a claims pipeline; it splits into measurement (quality, gaps in care) and money (capitation, risk, settlement). Read only for capitated or risk-based contracts.</w:t>
      </w:r>
    </w:p>
    <w:p>
      <w:pPr>
        <w:pStyle w:val="BodyText"/>
      </w:pPr>
      <w:r>
        <w:rPr>
          <w:i/>
          <w:iCs/>
        </w:rPr>
        <w:t xml:space="preserve">Note: Quality measurement uses documented operations; the financial rows are one FHIR approach to validate against your contracts. Quality/HEDIS reporting overlaps clinical analytics; see</w:t>
      </w:r>
      <w:r>
        <w:rPr>
          <w:i/>
          <w:iCs/>
        </w:rPr>
        <w:t xml:space="preserve"> </w:t>
      </w:r>
      <w:hyperlink r:id="rId91">
        <w:r>
          <w:rPr>
            <w:rStyle w:val="Hyperlink"/>
            <w:i/>
            <w:iCs/>
          </w:rPr>
          <w:t xml:space="preserve">Analytics</w:t>
        </w:r>
      </w:hyperlink>
      <w:r>
        <w:rPr>
          <w:i/>
          <w:iCs/>
        </w:rPr>
        <w:t xml:space="preserve">.</w:t>
      </w:r>
    </w:p>
    <w:p>
      <w:pPr>
        <w:pStyle w:val="BodyText"/>
      </w:pPr>
      <w:r>
        <w:rPr>
          <w:b/>
          <w:bCs/>
        </w:rPr>
        <w:t xml:space="preserve">Questions:</w:t>
      </w:r>
    </w:p>
    <w:p>
      <w:pPr>
        <w:pStyle w:val="Compact"/>
        <w:numPr>
          <w:ilvl w:val="0"/>
          <w:numId w:val="1017"/>
        </w:numPr>
      </w:pPr>
      <w:r>
        <w:t xml:space="preserve">Which contracts are capitated or risk-based, and which members are attributed to you?</w:t>
      </w:r>
    </w:p>
    <w:p>
      <w:pPr>
        <w:pStyle w:val="Compact"/>
        <w:numPr>
          <w:ilvl w:val="0"/>
          <w:numId w:val="1017"/>
        </w:numPr>
      </w:pPr>
      <w:r>
        <w:t xml:space="preserve">Which quality measures (eCQM, HEDIS, stars) are you accountable for?</w:t>
      </w:r>
    </w:p>
    <w:p>
      <w:pPr>
        <w:pStyle w:val="Compact"/>
        <w:numPr>
          <w:ilvl w:val="0"/>
          <w:numId w:val="1017"/>
        </w:numPr>
      </w:pPr>
      <w:r>
        <w:t xml:space="preserve">Do you still submit claims or encounter data when capitated (for risk adjustment and measurement)?</w:t>
      </w:r>
    </w:p>
    <w:p>
      <w:pPr>
        <w:pStyle w:val="Compact"/>
        <w:numPr>
          <w:ilvl w:val="0"/>
          <w:numId w:val="1017"/>
        </w:numPr>
      </w:pPr>
      <w:r>
        <w:t xml:space="preserve">How are capitation payments and any shared-savings settlement reconciled?</w:t>
      </w:r>
    </w:p>
    <w:tbl>
      <w:tblPr>
        <w:tblStyle w:val="Table"/>
        <w:tblW w:w="9360" w:type="dxa"/>
        <w:tblLayout w:type="fixed"/>
        <w:tblLook w:firstRow="1" w:lastRow="0" w:firstColumn="0" w:lastColumn="0" w:noHBand="0" w:noVBand="0" w:val="0020"/>
      </w:tblPr>
      <w:tblGrid>
        <w:gridCol w:w="4156"/>
        <w:gridCol w:w="5204"/>
      </w:tblGrid>
      <w:tr>
        <w:trPr>
          <w:cantSplit/>
          <w:tblHeader w:val="on"/>
        </w:trPr>
        <w:tc>
          <w:tcPr/>
          <w:p>
            <w:pPr>
              <w:pStyle w:val="Compact"/>
              <w:jc w:val="left"/>
            </w:pPr>
            <w:r>
              <w:t xml:space="preserve">Situation</w:t>
            </w:r>
          </w:p>
        </w:tc>
        <w:tc>
          <w:tcPr/>
          <w:p>
            <w:pPr>
              <w:pStyle w:val="Compact"/>
              <w:jc w:val="left"/>
            </w:pPr>
            <w:r>
              <w:t xml:space="preserve">Approach</w:t>
            </w:r>
          </w:p>
        </w:tc>
      </w:tr>
      <w:tr>
        <w:trPr>
          <w:cantSplit/>
        </w:trPr>
        <w:tc>
          <w:tcPr/>
          <w:p>
            <w:pPr>
              <w:pStyle w:val="Compact"/>
              <w:jc w:val="left"/>
            </w:pPr>
            <w:r>
              <w:t xml:space="preserve">Attribution / panel</w:t>
            </w:r>
          </w:p>
        </w:tc>
        <w:tc>
          <w:tcPr/>
          <w:p>
            <w:pPr>
              <w:pStyle w:val="Compact"/>
              <w:jc w:val="left"/>
            </w:pPr>
            <w:r>
              <w:rPr>
                <w:rStyle w:val="VerbatimChar"/>
              </w:rPr>
              <w:t xml:space="preserve">Group</w:t>
            </w:r>
            <w:r>
              <w:t xml:space="preserve"> </w:t>
            </w:r>
            <w:r>
              <w:t xml:space="preserve">as the member roster; ingest the payer roster via a</w:t>
            </w:r>
            <w:r>
              <w:t xml:space="preserve"> </w:t>
            </w:r>
            <w:r>
              <w:rPr>
                <w:rStyle w:val="VerbatimChar"/>
              </w:rPr>
              <w:t xml:space="preserve">Bot</w:t>
            </w:r>
            <w:r>
              <w:t xml:space="preserve">;</w:t>
            </w:r>
            <w:r>
              <w:t xml:space="preserve"> </w:t>
            </w:r>
            <w:r>
              <w:rPr>
                <w:rStyle w:val="VerbatimChar"/>
              </w:rPr>
              <w:t xml:space="preserve">CareTeam</w:t>
            </w:r>
            <w:r>
              <w:t xml:space="preserve"> </w:t>
            </w:r>
            <w:r>
              <w:t xml:space="preserve">for accountable teams.</w:t>
            </w:r>
          </w:p>
        </w:tc>
      </w:tr>
      <w:tr>
        <w:trPr>
          <w:cantSplit/>
        </w:trPr>
        <w:tc>
          <w:tcPr/>
          <w:p>
            <w:pPr>
              <w:pStyle w:val="Compact"/>
              <w:jc w:val="left"/>
            </w:pPr>
            <w:r>
              <w:t xml:space="preserve">Quality measurement &amp; gaps in care</w:t>
            </w:r>
          </w:p>
        </w:tc>
        <w:tc>
          <w:tcPr/>
          <w:p>
            <w:pPr>
              <w:pStyle w:val="Compact"/>
              <w:jc w:val="left"/>
            </w:pPr>
            <w:r>
              <w:rPr>
                <w:rStyle w:val="VerbatimChar"/>
              </w:rPr>
              <w:t xml:space="preserve">Measure</w:t>
            </w:r>
            <w:r>
              <w:t xml:space="preserve"> </w:t>
            </w:r>
            <w:r>
              <w:t xml:space="preserve">+</w:t>
            </w:r>
            <w:r>
              <w:t xml:space="preserve"> </w:t>
            </w:r>
            <w:r>
              <w:rPr>
                <w:rStyle w:val="VerbatimChar"/>
              </w:rPr>
              <w:t xml:space="preserve">MeasureReport</w:t>
            </w:r>
            <w:r>
              <w:t xml:space="preserve"> </w:t>
            </w:r>
            <w:r>
              <w:t xml:space="preserve">via</w:t>
            </w:r>
            <w:r>
              <w:t xml:space="preserve"> </w:t>
            </w:r>
            <w:hyperlink r:id="rId92">
              <w:r>
                <w:rPr>
                  <w:rStyle w:val="VerbatimChar"/>
                </w:rPr>
                <w:t xml:space="preserve">Measure/$evaluate-measure</w:t>
              </w:r>
            </w:hyperlink>
            <w:r>
              <w:t xml:space="preserve">; eCQM and HEDIS via</w:t>
            </w:r>
            <w:r>
              <w:t xml:space="preserve"> </w:t>
            </w:r>
            <w:hyperlink r:id="rId91">
              <w:r>
                <w:rPr>
                  <w:rStyle w:val="Hyperlink"/>
                </w:rPr>
                <w:t xml:space="preserve">Analytics</w:t>
              </w:r>
            </w:hyperlink>
            <w:r>
              <w:t xml:space="preserve">.</w:t>
            </w:r>
          </w:p>
        </w:tc>
      </w:tr>
      <w:tr>
        <w:trPr>
          <w:cantSplit/>
        </w:trPr>
        <w:tc>
          <w:tcPr/>
          <w:p>
            <w:pPr>
              <w:pStyle w:val="Compact"/>
              <w:jc w:val="left"/>
            </w:pPr>
            <w:r>
              <w:t xml:space="preserve">Risk adjustment (HCC / RAF)</w:t>
            </w:r>
          </w:p>
        </w:tc>
        <w:tc>
          <w:tcPr/>
          <w:p>
            <w:pPr>
              <w:pStyle w:val="Compact"/>
              <w:jc w:val="left"/>
            </w:pPr>
            <w:r>
              <w:t xml:space="preserve">Capture</w:t>
            </w:r>
            <w:r>
              <w:t xml:space="preserve"> </w:t>
            </w:r>
            <w:r>
              <w:rPr>
                <w:rStyle w:val="VerbatimChar"/>
              </w:rPr>
              <w:t xml:space="preserve">Condition</w:t>
            </w:r>
            <w:r>
              <w:t xml:space="preserve"> </w:t>
            </w:r>
            <w:r>
              <w:t xml:space="preserve">coding from encounters and submit as encounter data; ties to coding (</w:t>
            </w:r>
            <w:hyperlink w:anchor="Xd34c8bd9b45e8c621656c0823a1821cd0407119">
              <w:r>
                <w:rPr>
                  <w:rStyle w:val="Hyperlink"/>
                </w:rPr>
                <w:t xml:space="preserve">Charge capture</w:t>
              </w:r>
            </w:hyperlink>
            <w:r>
              <w:t xml:space="preserve">).</w:t>
            </w:r>
          </w:p>
        </w:tc>
      </w:tr>
      <w:tr>
        <w:trPr>
          <w:cantSplit/>
        </w:trPr>
        <w:tc>
          <w:tcPr/>
          <w:p>
            <w:pPr>
              <w:pStyle w:val="Compact"/>
              <w:jc w:val="left"/>
            </w:pPr>
            <w:r>
              <w:t xml:space="preserve">Encounter data</w:t>
            </w:r>
          </w:p>
        </w:tc>
        <w:tc>
          <w:tcPr/>
          <w:p>
            <w:pPr>
              <w:pStyle w:val="Compact"/>
              <w:jc w:val="left"/>
            </w:pPr>
            <w:r>
              <w:t xml:space="preserve">Even when capitated, reuse claim assembly (</w:t>
            </w:r>
            <w:hyperlink w:anchor="X77391c27292ca82bfebfaeadf8459f044332849">
              <w:r>
                <w:rPr>
                  <w:rStyle w:val="Hyperlink"/>
                </w:rPr>
                <w:t xml:space="preserve">Claim submission</w:t>
              </w:r>
            </w:hyperlink>
            <w:r>
              <w:t xml:space="preserve">) to send 837/encounter data for measurement and risk.</w:t>
            </w:r>
          </w:p>
        </w:tc>
      </w:tr>
      <w:tr>
        <w:trPr>
          <w:cantSplit/>
        </w:trPr>
        <w:tc>
          <w:tcPr/>
          <w:p>
            <w:pPr>
              <w:pStyle w:val="Compact"/>
              <w:jc w:val="left"/>
            </w:pPr>
            <w:r>
              <w:t xml:space="preserve">Payments (PMPM, settlement)</w:t>
            </w:r>
          </w:p>
        </w:tc>
        <w:tc>
          <w:tcPr/>
          <w:p>
            <w:pPr>
              <w:pStyle w:val="Compact"/>
              <w:jc w:val="left"/>
            </w:pPr>
            <w:r>
              <w:t xml:space="preserve">If using PaymentReconciliation, define its association to contract, period, and account in the posting model (</w:t>
            </w:r>
            <w:hyperlink w:anchor="X84d27e546a844b13b2da6fb283b1c564dbc85a9">
              <w:r>
                <w:rPr>
                  <w:rStyle w:val="Hyperlink"/>
                </w:rPr>
                <w:t xml:space="preserve">Accounts</w:t>
              </w:r>
            </w:hyperlink>
            <w:r>
              <w:t xml:space="preserve">). Receiving a reconciliation resource does not automatically change an Account balance</w:t>
            </w:r>
          </w:p>
        </w:tc>
      </w:tr>
    </w:tbl>
    <w:bookmarkEnd w:id="93"/>
    <w:bookmarkStart w:id="98" w:name="related-integrations"/>
    <w:p>
      <w:pPr>
        <w:pStyle w:val="Heading2"/>
      </w:pPr>
      <w:r>
        <w:t xml:space="preserve">Related Integrations</w:t>
      </w:r>
    </w:p>
    <w:bookmarkStart w:id="94" w:name="stedi"/>
    <w:bookmarkEnd w:id="94"/>
    <w:bookmarkStart w:id="95" w:name="candid-health"/>
    <w:bookmarkEnd w:id="95"/>
    <w:p>
      <w:pPr>
        <w:pStyle w:val="FirstParagraph"/>
      </w:pPr>
      <w:r>
        <w:t xml:space="preserve">See the integration docs for setup and implementation details:</w:t>
      </w:r>
    </w:p>
    <w:p>
      <w:pPr>
        <w:pStyle w:val="Compact"/>
        <w:numPr>
          <w:ilvl w:val="0"/>
          <w:numId w:val="1018"/>
        </w:numPr>
      </w:pPr>
      <w:hyperlink r:id="rId96">
        <w:r>
          <w:rPr>
            <w:rStyle w:val="Hyperlink"/>
          </w:rPr>
          <w:t xml:space="preserve">Stedi</w:t>
        </w:r>
      </w:hyperlink>
      <w:r>
        <w:t xml:space="preserve">: clearinghouse connectivity for eligibility, professional claims, and claim responses.</w:t>
      </w:r>
    </w:p>
    <w:p>
      <w:pPr>
        <w:pStyle w:val="Compact"/>
        <w:numPr>
          <w:ilvl w:val="0"/>
          <w:numId w:val="1018"/>
        </w:numPr>
      </w:pPr>
      <w:hyperlink r:id="rId97">
        <w:r>
          <w:rPr>
            <w:rStyle w:val="Hyperlink"/>
          </w:rPr>
          <w:t xml:space="preserve">Candid Health</w:t>
        </w:r>
      </w:hyperlink>
      <w:r>
        <w:t xml:space="preserve">: RCM partner integration for claim submission and billing-task synchronization.</w:t>
      </w:r>
    </w:p>
    <w:bookmarkEnd w:id="98"/>
    <w:bookmarkEnd w:id="99"/>
    <w:sectPr>
      <w:pgSz w:h="15840" w:w="12240"/>
      <w:pgMar w:bottom="1440" w:footer="720" w:gutter="0" w:header="720" w:left="1440" w:right="1440" w:top="144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Poppins" w:cs="Poppins" w:eastAsia="Poppins" w:hAnsi="Poppins"/>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Poppins" w:cs="Poppins" w:eastAsia="Poppins" w:hAnsi="Poppins"/>
      <w:sz w:val="56"/>
      <w:szCs w:val="56"/>
    </w:rPr>
  </w:style>
  <w:style w:customStyle="1" w:styleId="TitleChar" w:type="character">
    <w:name w:val="Title Char"/>
    <w:basedOn w:val="DefaultParagraphFont"/>
    <w:link w:val="Title"/>
    <w:uiPriority w:val="10"/>
    <w:rsid w:val="00A10FD9"/>
    <w:rPr>
      <w:rFonts w:ascii="Poppins" w:cs="Poppins" w:eastAsia="Poppins" w:hAnsi="Poppins"/>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Poppins" w:cs="Poppins" w:eastAsia="Poppins" w:hAnsi="Poppins"/>
      <w:color w:val="9C36B5"/>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Poppins" w:cs="Poppins" w:eastAsia="Poppins" w:hAnsi="Poppins"/>
      <w:color w:val="9C36B5"/>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val="9C36B5"/>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9C36B5"/>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9C36B5"/>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Poppins" w:cs="Poppins" w:eastAsia="Poppins" w:hAnsi="Poppins"/>
      <w:color w:val="9C36B5"/>
      <w:sz w:val="40"/>
      <w:szCs w:val="40"/>
    </w:rPr>
  </w:style>
  <w:style w:customStyle="1" w:styleId="Heading2Char" w:type="character">
    <w:name w:val="Heading 2 Char"/>
    <w:basedOn w:val="DefaultParagraphFont"/>
    <w:link w:val="Heading2"/>
    <w:uiPriority w:val="9"/>
    <w:semiHidden/>
    <w:rsid w:val="00A10FD9"/>
    <w:rPr>
      <w:rFonts w:ascii="Poppins" w:cs="Poppins" w:eastAsia="Poppins" w:hAnsi="Poppins"/>
      <w:color w:val="9C36B5"/>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9C36B5"/>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9C36B5"/>
    </w:rPr>
  </w:style>
  <w:style w:customStyle="1" w:styleId="Heading5Char" w:type="character">
    <w:name w:val="Heading 5 Char"/>
    <w:basedOn w:val="DefaultParagraphFont"/>
    <w:link w:val="Heading5"/>
    <w:uiPriority w:val="9"/>
    <w:semiHidden/>
    <w:rsid w:val="00A10FD9"/>
    <w:rPr>
      <w:rFonts w:cstheme="majorBidi" w:eastAsiaTheme="majorEastAsia"/>
      <w:color w:val="9C36B5"/>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D9C9E8" w:space="0" w:sz="4" w:val="single"/>
        <w:left w:color="D9C9E8" w:space="0" w:sz="4" w:val="single"/>
        <w:bottom w:color="D9C9E8" w:space="0" w:sz="4" w:val="single"/>
        <w:right w:color="D9C9E8" w:space="0" w:sz="4" w:val="single"/>
        <w:insideH w:color="D9C9E8" w:space="0" w:sz="4" w:val="single"/>
        <w:insideV w:color="D9C9E8" w:space="0" w:sz="4" w:val="single"/>
      </w:tblBorders>
      <w:tblCellMar>
        <w:top w:type="dxa" w:w="60"/>
        <w:left w:type="dxa" w:w="108"/>
        <w:bottom w:type="dxa" w:w="60"/>
        <w:right w:type="dxa" w:w="108"/>
      </w:tblCellMar>
    </w:tblPr>
    <w:tblStylePr w:type="firstRow">
      <w:rPr>
        <w:b/>
        <w:color w:val="402C6E"/>
      </w:rPr>
      <w:tcPr>
        <w:shd w:color="auto" w:fill="EFE3F8"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9C36B5"/>
    </w:rPr>
  </w:style>
  <w:style w:styleId="TOCHeading" w:type="paragraph">
    <w:name w:val="TOC Heading"/>
    <w:basedOn w:val="Heading1"/>
    <w:next w:val="BodyText"/>
    <w:uiPriority w:val="39"/>
    <w:unhideWhenUsed/>
    <w:qFormat/>
    <w:pPr>
      <w:spacing w:before="240" w:line="259" w:lineRule="auto"/>
      <w:outlineLvl w:val="9"/>
    </w:pPr>
    <w:rPr>
      <w:rFonts w:ascii="Poppins" w:cs="Poppins" w:eastAsia="Poppins" w:hAnsi="Poppins"/>
      <w:b w:val="0"/>
      <w:bCs w:val="0"/>
      <w:color w:val="9C36B5"/>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91" Target="/docs/analytics" TargetMode="External" /><Relationship Type="http://schemas.openxmlformats.org/officeDocument/2006/relationships/hyperlink" Id="rId60" Target="/docs/api/fhir/operations/chargeitemdefinition-apply" TargetMode="External" /><Relationship Type="http://schemas.openxmlformats.org/officeDocument/2006/relationships/hyperlink" Id="rId64" Target="/docs/api/fhir/operations/claim-export" TargetMode="External" /><Relationship Type="http://schemas.openxmlformats.org/officeDocument/2006/relationships/hyperlink" Id="rId92" Target="/docs/api/fhir/operations/evaluate-measure" TargetMode="External" /><Relationship Type="http://schemas.openxmlformats.org/officeDocument/2006/relationships/hyperlink" Id="rId12" Target="/docs/billing" TargetMode="External" /><Relationship Type="http://schemas.openxmlformats.org/officeDocument/2006/relationships/hyperlink" Id="rId85" Target="/docs/billing#sample-integrations" TargetMode="External" /><Relationship Type="http://schemas.openxmlformats.org/officeDocument/2006/relationships/hyperlink" Id="rId65" Target="/docs/billing/creating-cms1500" TargetMode="External" /><Relationship Type="http://schemas.openxmlformats.org/officeDocument/2006/relationships/hyperlink" Id="rId66" Target="/docs/billing/creating-superbills" TargetMode="External" /><Relationship Type="http://schemas.openxmlformats.org/officeDocument/2006/relationships/hyperlink" Id="rId46" Target="/docs/billing/insurance-eligibility-checks" TargetMode="External" /><Relationship Type="http://schemas.openxmlformats.org/officeDocument/2006/relationships/hyperlink" Id="rId34" Target="/docs/billing/patient-insurance" TargetMode="External" /><Relationship Type="http://schemas.openxmlformats.org/officeDocument/2006/relationships/hyperlink" Id="rId35" Target="/docs/decision-guides/intake#how-will-coverage-and-subscriber-relationships-be-modeled" TargetMode="External" /><Relationship Type="http://schemas.openxmlformats.org/officeDocument/2006/relationships/hyperlink" Id="rId47" Target="/docs/decision-guides/referrals" TargetMode="External" /><Relationship Type="http://schemas.openxmlformats.org/officeDocument/2006/relationships/hyperlink" Id="rId52" Target="/docs/decision-guides/referrals#who-owns-the-work-and-what-gates-authorization-and-scheduling" TargetMode="External" /><Relationship Type="http://schemas.openxmlformats.org/officeDocument/2006/relationships/hyperlink" Id="rId97" Target="/docs/integration/candid" TargetMode="External" /><Relationship Type="http://schemas.openxmlformats.org/officeDocument/2006/relationships/hyperlink" Id="rId51" Target="/docs/integration/electronic-prior-auth" TargetMode="External" /><Relationship Type="http://schemas.openxmlformats.org/officeDocument/2006/relationships/hyperlink" Id="rId96" Target="/docs/integration/stedi" TargetMode="External" /></Relationships>
</file>

<file path=word/_rels/footnotes.xml.rels><?xml version="1.0" encoding="UTF-8"?><Relationships xmlns="http://schemas.openxmlformats.org/package/2006/relationships"><Relationship Type="http://schemas.openxmlformats.org/officeDocument/2006/relationships/hyperlink" Id="rId91" Target="/docs/analytics" TargetMode="External" /><Relationship Type="http://schemas.openxmlformats.org/officeDocument/2006/relationships/hyperlink" Id="rId60" Target="/docs/api/fhir/operations/chargeitemdefinition-apply" TargetMode="External" /><Relationship Type="http://schemas.openxmlformats.org/officeDocument/2006/relationships/hyperlink" Id="rId64" Target="/docs/api/fhir/operations/claim-export" TargetMode="External" /><Relationship Type="http://schemas.openxmlformats.org/officeDocument/2006/relationships/hyperlink" Id="rId92" Target="/docs/api/fhir/operations/evaluate-measure" TargetMode="External" /><Relationship Type="http://schemas.openxmlformats.org/officeDocument/2006/relationships/hyperlink" Id="rId12" Target="/docs/billing" TargetMode="External" /><Relationship Type="http://schemas.openxmlformats.org/officeDocument/2006/relationships/hyperlink" Id="rId85" Target="/docs/billing#sample-integrations" TargetMode="External" /><Relationship Type="http://schemas.openxmlformats.org/officeDocument/2006/relationships/hyperlink" Id="rId65" Target="/docs/billing/creating-cms1500" TargetMode="External" /><Relationship Type="http://schemas.openxmlformats.org/officeDocument/2006/relationships/hyperlink" Id="rId66" Target="/docs/billing/creating-superbills" TargetMode="External" /><Relationship Type="http://schemas.openxmlformats.org/officeDocument/2006/relationships/hyperlink" Id="rId46" Target="/docs/billing/insurance-eligibility-checks" TargetMode="External" /><Relationship Type="http://schemas.openxmlformats.org/officeDocument/2006/relationships/hyperlink" Id="rId34" Target="/docs/billing/patient-insurance" TargetMode="External" /><Relationship Type="http://schemas.openxmlformats.org/officeDocument/2006/relationships/hyperlink" Id="rId35" Target="/docs/decision-guides/intake#how-will-coverage-and-subscriber-relationships-be-modeled" TargetMode="External" /><Relationship Type="http://schemas.openxmlformats.org/officeDocument/2006/relationships/hyperlink" Id="rId47" Target="/docs/decision-guides/referrals" TargetMode="External" /><Relationship Type="http://schemas.openxmlformats.org/officeDocument/2006/relationships/hyperlink" Id="rId52" Target="/docs/decision-guides/referrals#who-owns-the-work-and-what-gates-authorization-and-scheduling" TargetMode="External" /><Relationship Type="http://schemas.openxmlformats.org/officeDocument/2006/relationships/hyperlink" Id="rId97" Target="/docs/integration/candid" TargetMode="External" /><Relationship Type="http://schemas.openxmlformats.org/officeDocument/2006/relationships/hyperlink" Id="rId51" Target="/docs/integration/electronic-prior-auth" TargetMode="External" /><Relationship Type="http://schemas.openxmlformats.org/officeDocument/2006/relationships/hyperlink" Id="rId96" Target="/docs/integration/sted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1980-01-01T00:00:00Z</dcterms:created>
  <dcterms:modified xsi:type="dcterms:W3CDTF">1980-01-01T00:00:00Z</dcterms:modified>
</cp:coreProperties>
</file>

<file path=docProps/custom.xml><?xml version="1.0" encoding="utf-8"?>
<Properties xmlns="http://schemas.openxmlformats.org/officeDocument/2006/custom-properties" xmlns:vt="http://schemas.openxmlformats.org/officeDocument/2006/docPropsVTypes"/>
</file>