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21" name="Picture"/>
            <a:graphic>
              <a:graphicData uri="http://schemas.openxmlformats.org/drawingml/2006/picture">
                <pic:pic>
                  <pic:nvPicPr>
                    <pic:cNvPr descr="medplum-wordmark-grap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0" w:name="e-prescribe-decision-guide"/>
    <w:p>
      <w:pPr>
        <w:pStyle w:val="Heading1"/>
      </w:pPr>
      <w:r>
        <w:t xml:space="preserve">E-Prescribe Decision Guide</w:t>
      </w:r>
    </w:p>
    <w:p>
      <w:pPr>
        <w:pStyle w:val="FirstParagraph"/>
      </w:pPr>
      <w:r>
        <w:rPr>
          <w:iCs/>
          <w:i/>
        </w:rPr>
        <w:t xml:space="preserve">Companion to the</w:t>
      </w:r>
      <w:r>
        <w:rPr>
          <w:iCs/>
          <w:i/>
        </w:rPr>
        <w:t xml:space="preserve"> </w:t>
      </w:r>
      <w:hyperlink r:id="rId23">
        <w:r>
          <w:rPr>
            <w:rStyle w:val="Hyperlink"/>
            <w:iCs/>
            <w:i/>
          </w:rPr>
          <w:t xml:space="preserve">E-Prescribe (eRx)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docs.</w:t>
      </w:r>
    </w:p>
    <w:p>
      <w:pPr>
        <w:pStyle w:val="BodyText"/>
      </w:pPr>
      <w:r>
        <w:t xml:space="preserve">E-prescribing in Medplum is part of the</w:t>
      </w:r>
      <w:r>
        <w:t xml:space="preserve"> </w:t>
      </w:r>
      <w:hyperlink r:id="rId24">
        <w:r>
          <w:rPr>
            <w:rStyle w:val="Hyperlink"/>
          </w:rPr>
          <w:t xml:space="preserve">Medplum EHR</w:t>
        </w:r>
      </w:hyperlink>
      <w:r>
        <w:t xml:space="preserve">, not a standalone product. It runs through an integration with an e-prescribing vendor connected to the SureScripts network. This space is less about the FHIR data model than a sequence of</w:t>
      </w:r>
      <w:r>
        <w:t xml:space="preserve"> </w:t>
      </w:r>
      <w:r>
        <w:rPr>
          <w:bCs/>
          <w:b/>
        </w:rPr>
        <w:t xml:space="preserve">integration and enrollment decisions</w:t>
      </w:r>
      <w:r>
        <w:t xml:space="preserve">: whether prescribing uses the vendor’s hosted flow or a custom workflow, whether you send controlled substances, and how prescribers get enrolled and verified. This guide moves from those high-level decisions down to feature detail.</w:t>
      </w:r>
    </w:p>
    <w:bookmarkStart w:id="25" w:name="section-1-use-case-participants"/>
    <w:p>
      <w:pPr>
        <w:pStyle w:val="Heading2"/>
      </w:pPr>
      <w:r>
        <w:t xml:space="preserve">Section 1: Use Case &amp; Participants</w:t>
      </w:r>
    </w:p>
    <w:p>
      <w:pPr>
        <w:pStyle w:val="FirstParagraph"/>
      </w:pPr>
      <w:r>
        <w:rPr>
          <w:iCs/>
          <w:i/>
        </w:rPr>
        <w:t xml:space="preserve">Two of these — what you prescribe (1.1) and which workflow you use (1.2) — cascade into most of Section 3. Land them first.</w:t>
      </w:r>
    </w:p>
    <w:p>
      <w:pPr>
        <w:pStyle w:val="BodyText"/>
      </w:pPr>
      <w:r>
        <w:rPr>
          <w:bCs/>
          <w:b/>
        </w:rPr>
        <w:t xml:space="preserve">1.1 What are you prescribing?</w:t>
      </w:r>
    </w:p>
    <w:p>
      <w:pPr>
        <w:numPr>
          <w:ilvl w:val="0"/>
          <w:numId w:val="1001"/>
        </w:numPr>
        <w:pStyle w:val="Compact"/>
      </w:pPr>
      <w:r>
        <w:t xml:space="preserve">Non-controlled medications only</w:t>
      </w:r>
    </w:p>
    <w:p>
      <w:pPr>
        <w:numPr>
          <w:ilvl w:val="0"/>
          <w:numId w:val="1001"/>
        </w:numPr>
        <w:pStyle w:val="Compact"/>
      </w:pPr>
      <w:r>
        <w:t xml:space="preserve">Controlled substances too (Schedule II–V)</w:t>
      </w:r>
    </w:p>
    <w:p>
      <w:pPr>
        <w:numPr>
          <w:ilvl w:val="0"/>
          <w:numId w:val="1001"/>
        </w:numPr>
        <w:pStyle w:val="Compact"/>
      </w:pPr>
      <w:r>
        <w:t xml:space="preserve">Not sure / depends on specialty</w:t>
      </w:r>
    </w:p>
    <w:p>
      <w:pPr>
        <w:pStyle w:val="FirstParagraph"/>
      </w:pPr>
      <w:r>
        <w:rPr>
          <w:iCs/>
          <w:i/>
        </w:rPr>
        <w:t xml:space="preserve">Why: controlled substances require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EPCS</w:t>
      </w:r>
      <w:r>
        <w:rPr>
          <w:iCs/>
          <w:i/>
        </w:rPr>
        <w:t xml:space="preserve">, which adds a per-prescriber enrollment path (DEA, identity proofing, two-factor auth). If you never prescribe them, skip the entire Controlled Substances lane (3.4) and enrollment shrinks substantially.</w:t>
      </w:r>
    </w:p>
    <w:p>
      <w:pPr>
        <w:pStyle w:val="BodyText"/>
      </w:pPr>
      <w:r>
        <w:rPr>
          <w:bCs/>
          <w:b/>
        </w:rPr>
        <w:t xml:space="preserve">1.2 Do you want the hosted flow, or a custom workflow?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Hosted iframe</w:t>
      </w:r>
      <w:r>
        <w:t xml:space="preserve"> </w:t>
      </w:r>
      <w:r>
        <w:t xml:space="preserve">— embed the vendor’s prescribing screens. Drug search, dosing, pharmacy, and send all happen inside the vendor’s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Custom workflow</w:t>
      </w:r>
      <w:r>
        <w:t xml:space="preserve"> </w:t>
      </w:r>
      <w:r>
        <w:t xml:space="preserve">— prescribe from the chart using Medplum’s FHIR operations and bots. Only the final, regulation-required</w:t>
      </w:r>
      <w:r>
        <w:t xml:space="preserve"> </w:t>
      </w:r>
      <w:r>
        <w:rPr>
          <w:bCs/>
          <w:b/>
        </w:rPr>
        <w:t xml:space="preserve">review-and-send</w:t>
      </w:r>
      <w:r>
        <w:t xml:space="preserve"> </w:t>
      </w:r>
      <w:r>
        <w:t xml:space="preserve">step stays a hosted widget.</w:t>
      </w:r>
    </w:p>
    <w:p>
      <w:pPr>
        <w:numPr>
          <w:ilvl w:val="0"/>
          <w:numId w:val="1002"/>
        </w:numPr>
        <w:pStyle w:val="Compact"/>
      </w:pPr>
      <w:r>
        <w:t xml:space="preserve">Not sure</w:t>
      </w:r>
    </w:p>
    <w:p>
      <w:pPr>
        <w:pStyle w:val="FirstParagraph"/>
      </w:pPr>
      <w:r>
        <w:rPr>
          <w:iCs/>
          <w:i/>
        </w:rPr>
        <w:t xml:space="preserve">Why: the iframe is fastest to live, and the steps stay the vendor’s. A custom workflow keeps prescribing in the chart. Presets — clinic favorites and order sets — standardize repeat orders on either path. Either way, transmission stays on the vendor’s review-and-send step. See 3.1.</w:t>
      </w:r>
    </w:p>
    <w:p>
      <w:pPr>
        <w:pStyle w:val="BodyText"/>
      </w:pPr>
      <w:r>
        <w:rPr>
          <w:bCs/>
          <w:b/>
        </w:rPr>
        <w:t xml:space="preserve">1.3 New build or replacing an existing e-Rx system?</w:t>
      </w:r>
    </w:p>
    <w:p>
      <w:pPr>
        <w:numPr>
          <w:ilvl w:val="0"/>
          <w:numId w:val="1003"/>
        </w:numPr>
        <w:pStyle w:val="Compact"/>
      </w:pPr>
      <w:r>
        <w:t xml:space="preserve">New — no e-prescribing today</w:t>
      </w:r>
    </w:p>
    <w:p>
      <w:pPr>
        <w:numPr>
          <w:ilvl w:val="0"/>
          <w:numId w:val="1003"/>
        </w:numPr>
        <w:pStyle w:val="Compact"/>
      </w:pPr>
      <w:r>
        <w:t xml:space="preserve">Replacing another EHR or e-Rx vendor</w:t>
      </w:r>
    </w:p>
    <w:p>
      <w:pPr>
        <w:numPr>
          <w:ilvl w:val="0"/>
          <w:numId w:val="1003"/>
        </w:numPr>
        <w:pStyle w:val="Compact"/>
      </w:pPr>
      <w:r>
        <w:t xml:space="preserve">Adding alongside an existing clinical system</w:t>
      </w:r>
    </w:p>
    <w:p>
      <w:pPr>
        <w:pStyle w:val="FirstParagraph"/>
      </w:pPr>
      <w:r>
        <w:rPr>
          <w:iCs/>
          <w:i/>
        </w:rPr>
        <w:t xml:space="preserve">Why: replacing an existing system means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Change of Vendor</w:t>
      </w:r>
      <w:r>
        <w:rPr>
          <w:iCs/>
          <w:i/>
        </w:rPr>
        <w:t xml:space="preserve"> </w:t>
      </w:r>
      <w:r>
        <w:rPr>
          <w:iCs/>
          <w:i/>
        </w:rPr>
        <w:t xml:space="preserve">on SureScripts so refills and history follow prescribers over — a distinct migration workstream (3.11).</w:t>
      </w:r>
    </w:p>
    <w:p>
      <w:pPr>
        <w:pStyle w:val="BodyText"/>
      </w:pPr>
      <w:r>
        <w:rPr>
          <w:bCs/>
          <w:b/>
        </w:rPr>
        <w:t xml:space="preserve">1.4 Who is involved in prescribing?</w:t>
      </w:r>
    </w:p>
    <w:p>
      <w:pPr>
        <w:numPr>
          <w:ilvl w:val="0"/>
          <w:numId w:val="1004"/>
        </w:numPr>
        <w:pStyle w:val="Compact"/>
      </w:pPr>
      <w:r>
        <w:t xml:space="preserve">Prescribers (sign and send)</w:t>
      </w:r>
    </w:p>
    <w:p>
      <w:pPr>
        <w:numPr>
          <w:ilvl w:val="0"/>
          <w:numId w:val="1004"/>
        </w:numPr>
        <w:pStyle w:val="Compact"/>
      </w:pPr>
      <w:r>
        <w:t xml:space="preserve">Prescribing agents / proxies (stage but can’t send)</w:t>
      </w:r>
    </w:p>
    <w:p>
      <w:pPr>
        <w:numPr>
          <w:ilvl w:val="0"/>
          <w:numId w:val="1004"/>
        </w:numPr>
        <w:pStyle w:val="Compact"/>
      </w:pPr>
      <w:r>
        <w:t xml:space="preserve">Administrators (enroll prescribers, manage practices, configure favorites)</w:t>
      </w:r>
    </w:p>
    <w:p>
      <w:pPr>
        <w:numPr>
          <w:ilvl w:val="0"/>
          <w:numId w:val="1004"/>
        </w:numPr>
        <w:pStyle w:val="Compact"/>
      </w:pPr>
      <w:r>
        <w:t xml:space="preserve">Any offshore or non-US staff using e-prescribing?</w:t>
      </w:r>
    </w:p>
    <w:p>
      <w:pPr>
        <w:pStyle w:val="FirstParagraph"/>
      </w:pPr>
      <w:r>
        <w:rPr>
          <w:iCs/>
          <w:i/>
        </w:rPr>
        <w:t xml:space="preserve">Why: prescriber vs. agent vs. admin map to distinct enrollment roles (3.3), and only fully-enrolled prescribers can transmit. Non-prescribing roles don’t need an NPI. Offshore and non-US staff matter here because e-prescribing is only available to professionals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authorized to prescribe in the United States</w:t>
      </w:r>
      <w:r>
        <w:rPr>
          <w:iCs/>
          <w:i/>
        </w:rPr>
        <w:t xml:space="preserve"> </w:t>
      </w:r>
      <w:r>
        <w:rPr>
          <w:iCs/>
          <w:i/>
        </w:rPr>
        <w:t xml:space="preserve">— a SureScripts-network constraint, not a Medplum one — so non-US staff can only hold non-prescribing roles, and even those must be enrolled with the vendor to call pharmacy or medication-history operations (3.3). Confirm your vendor’s policy on non-US users before designing an offshore-staffing model around e-prescribing.</w:t>
      </w:r>
    </w:p>
    <w:p>
      <w:r>
        <w:pict>
          <v:rect style="width:0;height:1.5pt" o:hralign="center" o:hrstd="t" o:hr="t"/>
        </w:pict>
      </w:r>
    </w:p>
    <w:bookmarkEnd w:id="25"/>
    <w:bookmarkStart w:id="26" w:name="section-2-feature-scoping"/>
    <w:p>
      <w:pPr>
        <w:pStyle w:val="Heading2"/>
      </w:pPr>
      <w:r>
        <w:t xml:space="preserve">Section 2: Feature Scoping</w:t>
      </w:r>
    </w:p>
    <w:p>
      <w:pPr>
        <w:pStyle w:val="FirstParagraph"/>
      </w:pPr>
      <w:r>
        <w:rPr>
          <w:iCs/>
          <w:i/>
        </w:rPr>
        <w:t xml:space="preserve">For each row, mark Yes / No / Nice-to-have / Not sure. The</w:t>
      </w:r>
      <w:r>
        <w:t xml:space="preserve"> </w:t>
      </w:r>
      <w:r>
        <w:rPr>
          <w:bCs/>
          <w:b/>
        </w:rPr>
        <w:t xml:space="preserve">§</w:t>
      </w:r>
      <w:r>
        <w:t xml:space="preserve"> </w:t>
      </w:r>
      <w:r>
        <w:rPr>
          <w:iCs/>
          <w:i/>
        </w:rPr>
        <w:t xml:space="preserve">column points to the deep dive.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600"/>
        <w:gridCol w:w="3511"/>
        <w:gridCol w:w="880"/>
        <w:gridCol w:w="740"/>
        <w:gridCol w:w="600"/>
        <w:gridCol w:w="2000"/>
        <w:gridCol w:w="1029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Prescriber enrollment &amp; identity proofing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&amp; practice identity data (NPI, DEA, roles)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Non-prescriber staff access (pharmacy / history 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substances / EPCS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Formulary/benefit checks &amp; prior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Refills, reorders &amp; discontinuation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favorites / order 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Pediatric prescribing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Medication history retrieval (with consent)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Multi-location / multi-practice prescribing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Multi-tenant / platform deployment (multiple downstream clients)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from an existing e-Rx system (Change of Vendor)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45" w:name="section-3-feature-deep-dives"/>
    <w:p>
      <w:pPr>
        <w:pStyle w:val="Heading2"/>
      </w:pPr>
      <w:r>
        <w:t xml:space="preserve">Section 3: Feature Deep Dives</w:t>
      </w:r>
    </w:p>
    <w:p>
      <w:pPr>
        <w:pStyle w:val="FirstParagraph"/>
      </w:pPr>
      <w:r>
        <w:rPr>
          <w:iCs/>
          <w:i/>
        </w:rPr>
        <w:t xml:space="preserve">Cover each feature flagged Yes or Nice-to-have. Each question below maps to a row in the table beneath it, in order. The goal is a clear recommended approach by the end of each section.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2858"/>
        <w:gridCol w:w="1860"/>
        <w:gridCol w:w="4642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read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– 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Controlled Substances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you prescribe controlled substances (1.1)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Prescribing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– 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Practice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 – 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prescribing across multiple locations, entities, or downstream clients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Situational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replacing an existing e-Rx system (1.3)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0" w:name="foundations"/>
    <w:p>
      <w:pPr>
        <w:pStyle w:val="Heading3"/>
      </w:pPr>
      <w:r>
        <w:t xml:space="preserve">Foundations</w:t>
      </w:r>
    </w:p>
    <w:bookmarkStart w:id="27" w:name="custom-workflow"/>
    <w:p>
      <w:pPr>
        <w:pStyle w:val="Heading4"/>
      </w:pPr>
      <w:r>
        <w:t xml:space="preserve">3.1 Custom Workflow</w:t>
      </w:r>
    </w:p>
    <w:p>
      <w:pPr>
        <w:pStyle w:val="FirstParagraph"/>
      </w:pPr>
      <w:r>
        <w:t xml:space="preserve">Whether prescribing follows the vendor’s hosted flow or a custom workflow in the chart. This choice shapes almost every section below.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5"/>
        </w:numPr>
        <w:pStyle w:val="Compact"/>
      </w:pPr>
      <w:r>
        <w:t xml:space="preserve">Do prescribers write prescriptions from inside the chart, or is the vendor’s hosted flow enough?</w:t>
      </w:r>
    </w:p>
    <w:p>
      <w:pPr>
        <w:numPr>
          <w:ilvl w:val="0"/>
          <w:numId w:val="1005"/>
        </w:numPr>
        <w:pStyle w:val="Compact"/>
      </w:pPr>
      <w:r>
        <w:t xml:space="preserve">Do you want presets — clinic favorites and order sets — for medications the practice sends often?</w:t>
      </w:r>
    </w:p>
    <w:p>
      <w:pPr>
        <w:numPr>
          <w:ilvl w:val="0"/>
          <w:numId w:val="1005"/>
        </w:numPr>
        <w:pStyle w:val="Compact"/>
      </w:pPr>
      <w:r>
        <w:t xml:space="preserve">Is the vendor’s standard sequence of steps acceptable?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645"/>
        <w:gridCol w:w="5715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Hosted flow is enough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Hosted iframe</w:t>
            </w:r>
            <w:r>
              <w:t xml:space="preserve"> </w:t>
            </w:r>
            <w:r>
              <w:t xml:space="preserve">— the vendor’s screens, embedded. Fastest to live; the steps are the vendor’s.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Prescribe from the chart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 workflow</w:t>
            </w:r>
            <w:r>
              <w:t xml:space="preserve"> </w:t>
            </w:r>
            <w:r>
              <w:t xml:space="preserve">— stage the order with FHIR operations and bots; the prescriber stays in the chart until the final send.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Repeat 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Presets</w:t>
            </w:r>
            <w:r>
              <w:t xml:space="preserve"> </w:t>
            </w:r>
            <w:r>
              <w:t xml:space="preserve">— clinic favorites and order sets (3.7). These are configuration, not a separate prescribing interface.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Either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final review-and-send step is always vendor-hosted and compliance-controlled. A custom workflow does not replace transmission.</w:t>
            </w:r>
          </w:p>
        </w:tc>
      </w:tr>
    </w:tbl>
    <w:p>
      <w:pPr>
        <w:pStyle w:val="BlockText"/>
      </w:pPr>
      <w:r>
        <w:rPr>
          <w:bCs/>
          <w:b/>
        </w:rPr>
        <w:t xml:space="preserve">⚠ Choose deliberately.</w:t>
      </w:r>
      <w:r>
        <w:t xml:space="preserve"> </w:t>
      </w:r>
      <w:r>
        <w:t xml:space="preserve">This is expensive to reverse — it determines whether prescribers stay in the chart, and how enrollment and presets surface. Align on 1.2 before you commit to a workflow.</w:t>
      </w:r>
    </w:p>
    <w:bookmarkEnd w:id="27"/>
    <w:bookmarkStart w:id="28" w:name="prescriber-enrollment-identity-proofing"/>
    <w:p>
      <w:pPr>
        <w:pStyle w:val="Heading4"/>
      </w:pPr>
      <w:r>
        <w:t xml:space="preserve">3.2 Prescriber Enrollment &amp; Identity Proofing</w:t>
      </w:r>
    </w:p>
    <w:p>
      <w:pPr>
        <w:pStyle w:val="FirstParagraph"/>
      </w:pPr>
      <w:r>
        <w:t xml:space="preserve">Every prescriber must be enrolled before transmitting. Decide who drives enrollment and how much your platform automates.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6"/>
        </w:numPr>
        <w:pStyle w:val="Compact"/>
      </w:pPr>
      <w:r>
        <w:t xml:space="preserve">Who initiates enrollment — an ops admin, or the prescriber on first login?</w:t>
      </w:r>
    </w:p>
    <w:p>
      <w:pPr>
        <w:numPr>
          <w:ilvl w:val="0"/>
          <w:numId w:val="1006"/>
        </w:numPr>
        <w:pStyle w:val="Compact"/>
      </w:pPr>
      <w:r>
        <w:t xml:space="preserve">Do prescribers send controlled substances (which adds identity proofing and 2FA — see 3.4)?</w:t>
      </w:r>
    </w:p>
    <w:p>
      <w:pPr>
        <w:numPr>
          <w:ilvl w:val="0"/>
          <w:numId w:val="1006"/>
        </w:numPr>
        <w:pStyle w:val="Compact"/>
      </w:pPr>
      <w:r>
        <w:t xml:space="preserve">How will you see which prescribers are stuck mid-enrollment?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534"/>
        <w:gridCol w:w="482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Ops admin drives it, stage by stage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Admin-driven enrollment bot</w:t>
            </w:r>
            <w:r>
              <w:t xml:space="preserve"> </w:t>
            </w:r>
            <w:r>
              <w:t xml:space="preserve">— invoked per practitioner; the admin controls when each stage advances. Requires a project admin with vendor admin access.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Prescriber self-enrolls on first 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Self-service enrollment bot</w:t>
            </w:r>
            <w:r>
              <w:t xml:space="preserve"> </w:t>
            </w:r>
            <w:r>
              <w:t xml:space="preserve">— auto-advances through registration as the prescriber opens the iframe. Requires an admin-level vendor user id as a project secret and an active prescriber role record.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Non-controlled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Enrollment completes at basic registration — the prescriber can prescribe non-controlled meds immediately; no identity proofing or 2FA.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Track enrollment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bots return a status that progresses registration → identity proofing → 2FA; surface it to admins so stuck prescribers are visible.</w:t>
            </w:r>
          </w:p>
        </w:tc>
      </w:tr>
    </w:tbl>
    <w:bookmarkEnd w:id="28"/>
    <w:bookmarkStart w:id="29" w:name="provider-practice-identity-data"/>
    <w:p>
      <w:pPr>
        <w:pStyle w:val="Heading4"/>
      </w:pPr>
      <w:r>
        <w:t xml:space="preserve">3.3 Provider &amp; Practice Identity Data</w:t>
      </w:r>
    </w:p>
    <w:p>
      <w:pPr>
        <w:pStyle w:val="FirstParagraph"/>
      </w:pPr>
      <w:r>
        <w:t xml:space="preserve">Accurate provider identity data prevents the most common enrollment failures.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7"/>
        </w:numPr>
        <w:pStyle w:val="Compact"/>
      </w:pPr>
      <w:r>
        <w:t xml:space="preserve">Do you have complete, validated</w:t>
      </w:r>
      <w:r>
        <w:t xml:space="preserve"> </w:t>
      </w:r>
      <w:r>
        <w:rPr>
          <w:rStyle w:val="VerbatimChar"/>
        </w:rPr>
        <w:t xml:space="preserve">Practitioner</w:t>
      </w:r>
      <w:r>
        <w:t xml:space="preserve"> </w:t>
      </w:r>
      <w:r>
        <w:t xml:space="preserve">records (name, DOB, address, work phone/fax, email, NPI)?</w:t>
      </w:r>
    </w:p>
    <w:p>
      <w:pPr>
        <w:numPr>
          <w:ilvl w:val="0"/>
          <w:numId w:val="1007"/>
        </w:numPr>
        <w:pStyle w:val="Compact"/>
      </w:pPr>
      <w:r>
        <w:t xml:space="preserve">Do controlled-substance prescribers have a valid DEA number with issuing state?</w:t>
      </w:r>
    </w:p>
    <w:p>
      <w:pPr>
        <w:numPr>
          <w:ilvl w:val="0"/>
          <w:numId w:val="1007"/>
        </w:numPr>
        <w:pStyle w:val="Compact"/>
      </w:pPr>
      <w:r>
        <w:t xml:space="preserve">Which roles do users need — prescriber, agent/proxy, admin?</w:t>
      </w:r>
    </w:p>
    <w:p>
      <w:pPr>
        <w:numPr>
          <w:ilvl w:val="0"/>
          <w:numId w:val="1007"/>
        </w:numPr>
        <w:pStyle w:val="Compact"/>
      </w:pPr>
      <w:r>
        <w:t xml:space="preserve">Do non-prescriber staff (front desk, MAs) need to perform prescribing-adjacent tasks — searching pharmacies, setting a preferred pharmacy, viewing history — without an NPI?</w:t>
      </w:r>
    </w:p>
    <w:p>
      <w:pPr>
        <w:numPr>
          <w:ilvl w:val="0"/>
          <w:numId w:val="1007"/>
        </w:numPr>
        <w:pStyle w:val="Compact"/>
      </w:pPr>
      <w:r>
        <w:t xml:space="preserve">Are any of those staff offshore or otherwise outside the US?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651"/>
        <w:gridCol w:w="4709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Standard prescriber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Practitioner</w:t>
            </w:r>
            <w:r>
              <w:t xml:space="preserve"> </w:t>
            </w:r>
            <w:r>
              <w:t xml:space="preserve">with full name, birth date, complete address, work phone and fax, email, and a valid 10-digit</w:t>
            </w:r>
            <w:r>
              <w:t xml:space="preserve"> </w:t>
            </w:r>
            <w:r>
              <w:rPr>
                <w:bCs/>
                <w:b/>
              </w:rPr>
              <w:t xml:space="preserve">NPI</w:t>
            </w:r>
            <w:r>
              <w:t xml:space="preserve">. Missing or malformed fields are the top cause of enrollment errors.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Controlled-substance prescriber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 a</w:t>
            </w:r>
            <w:r>
              <w:t xml:space="preserve"> </w:t>
            </w:r>
            <w:r>
              <w:rPr>
                <w:bCs/>
                <w:b/>
              </w:rPr>
              <w:t xml:space="preserve">DEA number</w:t>
            </w:r>
            <w:r>
              <w:t xml:space="preserve"> </w:t>
            </w:r>
            <w:r>
              <w:t xml:space="preserve">with the issuing</w:t>
            </w:r>
            <w:r>
              <w:t xml:space="preserve"> </w:t>
            </w:r>
            <w:r>
              <w:rPr>
                <w:bCs/>
                <w:b/>
              </w:rPr>
              <w:t xml:space="preserve">state</w:t>
            </w:r>
            <w:r>
              <w:t xml:space="preserve"> </w:t>
            </w:r>
            <w:r>
              <w:t xml:space="preserve">present (2-letter abbreviation) — required to trigger EPCS enrollment (3.4).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Staff who stage but don’t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 as a</w:t>
            </w:r>
            <w:r>
              <w:t xml:space="preserve"> </w:t>
            </w:r>
            <w:r>
              <w:rPr>
                <w:bCs/>
                <w:b/>
              </w:rPr>
              <w:t xml:space="preserve">prescribing agent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Cs/>
                <w:b/>
              </w:rPr>
              <w:t xml:space="preserve">proxy</w:t>
            </w:r>
            <w:r>
              <w:t xml:space="preserve"> </w:t>
            </w:r>
            <w:r>
              <w:t xml:space="preserve">role — no NPI required; cannot finalize or transmit.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Users who enroll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Enroll with an</w:t>
            </w:r>
            <w:r>
              <w:t xml:space="preserve"> </w:t>
            </w:r>
            <w:r>
              <w:rPr>
                <w:bCs/>
                <w:b/>
              </w:rPr>
              <w:t xml:space="preserve">admin/clinician-admin</w:t>
            </w:r>
            <w:r>
              <w:t xml:space="preserve"> </w:t>
            </w:r>
            <w:r>
              <w:t xml:space="preserve">role to invite and manage other prescribers and configure favorites (3.7).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Non-prescriber staff running pharmacy/history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 without prescribing rights, staff must be</w:t>
            </w:r>
            <w:r>
              <w:t xml:space="preserve"> </w:t>
            </w:r>
            <w:r>
              <w:rPr>
                <w:bCs/>
                <w:b/>
              </w:rPr>
              <w:t xml:space="preserve">enrolled with a vendor identifier</w:t>
            </w:r>
            <w:r>
              <w:t xml:space="preserve"> </w:t>
            </w:r>
            <w:r>
              <w:t xml:space="preserve">to call pharmacy-directory or medication-history operations — an un-enrolled user is rejected. Confirm which staff need these ops and provision a non-prescribing role for them.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Offshore / non-US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Prescribing itself is limited to professionals</w:t>
            </w:r>
            <w:r>
              <w:t xml:space="preserve"> </w:t>
            </w:r>
            <w:r>
              <w:rPr>
                <w:bCs/>
                <w:b/>
              </w:rPr>
              <w:t xml:space="preserve">authorized to prescribe in the United States</w:t>
            </w:r>
            <w:r>
              <w:t xml:space="preserve">, so non-US users can only take non-prescribing roles (agent/proxy, admin) — and still need vendor enrollment for pharmacy and history operations. Vendor policy on non-US users varies; validate it with your vendor before designing an offshore-staffing model, not after.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2" w:name="controlled-substances"/>
    <w:p>
      <w:pPr>
        <w:pStyle w:val="Heading3"/>
      </w:pPr>
      <w:r>
        <w:t xml:space="preserve">Controlled Substances</w:t>
      </w:r>
    </w:p>
    <w:p>
      <w:pPr>
        <w:pStyle w:val="FirstParagraph"/>
      </w:pPr>
      <w:r>
        <w:rPr>
          <w:iCs/>
          <w:i/>
        </w:rPr>
        <w:t xml:space="preserve">Read only if 1.1 includes controlled substances. Otherwise skip to 3.5.</w:t>
      </w:r>
    </w:p>
    <w:bookmarkStart w:id="31" w:name="X3c9097b3ec9267039151118ddc1c4b6701b8af1"/>
    <w:p>
      <w:pPr>
        <w:pStyle w:val="Heading4"/>
      </w:pPr>
      <w:r>
        <w:t xml:space="preserve">3.4 EPCS (Electronic Prescriptions for Controlled Substances)</w:t>
      </w:r>
    </w:p>
    <w:p>
      <w:pPr>
        <w:pStyle w:val="FirstParagraph"/>
      </w:pPr>
      <w:r>
        <w:t xml:space="preserve">Supported, but a regulated, multi-step enrollment on top of basic registration. Treat it as its own workstream.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8"/>
        </w:numPr>
        <w:pStyle w:val="Compact"/>
      </w:pPr>
      <w:r>
        <w:t xml:space="preserve">Which prescribers will send controlled substances, and does each have a valid, active DEA registration (with state)?</w:t>
      </w:r>
    </w:p>
    <w:p>
      <w:pPr>
        <w:numPr>
          <w:ilvl w:val="0"/>
          <w:numId w:val="1008"/>
        </w:numPr>
        <w:pStyle w:val="Compact"/>
      </w:pPr>
      <w:r>
        <w:t xml:space="preserve">Are prescribers ready to complete identity proofing and set up two-factor auth?</w:t>
      </w:r>
    </w:p>
    <w:p>
      <w:pPr>
        <w:numPr>
          <w:ilvl w:val="0"/>
          <w:numId w:val="1008"/>
        </w:numPr>
        <w:pStyle w:val="Compact"/>
      </w:pPr>
      <w:r>
        <w:t xml:space="preserve">Have any prescribers previously enrolled in EPCS with this vendor under another organization?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958"/>
        <w:gridCol w:w="5402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 EPCS for a prescriber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stages on top of registration:</w:t>
            </w:r>
            <w:r>
              <w:t xml:space="preserve"> </w:t>
            </w:r>
            <w:r>
              <w:rPr>
                <w:bCs/>
                <w:b/>
              </w:rPr>
              <w:t xml:space="preserve">(1)</w:t>
            </w:r>
            <w:r>
              <w:t xml:space="preserve"> </w:t>
            </w:r>
            <w:r>
              <w:t xml:space="preserve">registration with DEA present →</w:t>
            </w:r>
            <w:r>
              <w:t xml:space="preserve"> </w:t>
            </w:r>
            <w:r>
              <w:rPr>
                <w:bCs/>
                <w:b/>
              </w:rPr>
              <w:t xml:space="preserve">(2)</w:t>
            </w:r>
            <w:r>
              <w:t xml:space="preserve"> </w:t>
            </w:r>
            <w:r>
              <w:t xml:space="preserve">identity proofing (Experian-based) →</w:t>
            </w:r>
            <w:r>
              <w:t xml:space="preserve"> </w:t>
            </w:r>
            <w:r>
              <w:rPr>
                <w:bCs/>
                <w:b/>
              </w:rPr>
              <w:t xml:space="preserve">(3)</w:t>
            </w:r>
            <w:r>
              <w:t xml:space="preserve"> </w:t>
            </w:r>
            <w:r>
              <w:t xml:space="preserve">two-factor auth activation. All three required before transmitting controlled substances.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Missing or inactive 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Blocks identity proofing; the DEA number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issuing state must be on the</w:t>
            </w:r>
            <w:r>
              <w:t xml:space="preserve"> </w:t>
            </w:r>
            <w:r>
              <w:rPr>
                <w:rStyle w:val="VerbatimChar"/>
              </w:rPr>
              <w:t xml:space="preserve">Practitioner</w:t>
            </w:r>
            <w:r>
              <w:t xml:space="preserve"> </w:t>
            </w:r>
            <w:r>
              <w:t xml:space="preserve">(3.3).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Prior enrollment elsewhere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cause verification conflicts (e.g. reused phone number). Identify these prescribers up front so vendor support can resolve them before onboarding.</w:t>
            </w:r>
          </w:p>
        </w:tc>
      </w:tr>
    </w:tbl>
    <w:p>
      <w:pPr>
        <w:pStyle w:val="BlockText"/>
      </w:pPr>
      <w:r>
        <w:rPr>
          <w:bCs/>
          <w:b/>
        </w:rPr>
        <w:t xml:space="preserve">⚠ EPCS is a one-way gate on go-live.</w:t>
      </w:r>
      <w:r>
        <w:t xml:space="preserve"> </w:t>
      </w:r>
      <w:r>
        <w:t xml:space="preserve">Identity proofing and 2FA are per-prescriber, take real calendar time, and are the most common onboarding delay. Start early and build admin visibility into each prescriber’s stage (3.2). Controlled-substance prescriptions also require effective dates and often a diagnosis — confirm your workflow captures these.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scribing-workflow"/>
    <w:p>
      <w:pPr>
        <w:pStyle w:val="Heading3"/>
      </w:pPr>
      <w:r>
        <w:t xml:space="preserve">Prescribing Workflow</w:t>
      </w:r>
    </w:p>
    <w:bookmarkStart w:id="35" w:name="X7d643f3c56220bea268c9eb469439065dc34bfa"/>
    <w:p>
      <w:pPr>
        <w:pStyle w:val="Heading4"/>
      </w:pPr>
      <w:r>
        <w:t xml:space="preserve">3.5 Formulary/Benefit Checks &amp; Prior Authorization</w:t>
      </w:r>
    </w:p>
    <w:p>
      <w:pPr>
        <w:pStyle w:val="FirstParagraph"/>
      </w:pPr>
      <w:r>
        <w:t xml:space="preserve">Whether prescribers see coverage and cost at the point of prescribing, and how prior auth is handled.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09"/>
        </w:numPr>
        <w:pStyle w:val="Compact"/>
      </w:pPr>
      <w:r>
        <w:t xml:space="preserve">Do prescribers need formulary status, patient cost, and covered alternatives while prescribing?</w:t>
      </w:r>
    </w:p>
    <w:p>
      <w:pPr>
        <w:numPr>
          <w:ilvl w:val="0"/>
          <w:numId w:val="1009"/>
        </w:numPr>
        <w:pStyle w:val="Compact"/>
      </w:pPr>
      <w:r>
        <w:t xml:space="preserve">Do you need to initiate electronic prior authorization (ePA) — through the eRx vendor, the standards-based payer path, or both?</w:t>
      </w:r>
    </w:p>
    <w:p>
      <w:pPr>
        <w:numPr>
          <w:ilvl w:val="0"/>
          <w:numId w:val="1009"/>
        </w:numPr>
        <w:pStyle w:val="Compact"/>
      </w:pPr>
      <w:r>
        <w:t xml:space="preserve">Is your timeline driven by upcoming e-prescribing mandates?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312"/>
        <w:gridCol w:w="5048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Show coverage &amp;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vendor pulls active benefit info from pharmacy-benefit data via patient demographics and surfaces formulary status, cost, and alternatives. Coverage comes from the benefit network,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insurance data stored only in Medplum, and prescription cost is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retrievable via the Medplum API — keep demographics accurate so the match succeeds.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ePA via the eRx 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e-prescribing vendor can initiate ePA from the medication when formulary data flags it’s required. This may require</w:t>
            </w:r>
            <w:r>
              <w:t xml:space="preserve"> </w:t>
            </w:r>
            <w:r>
              <w:rPr>
                <w:bCs/>
                <w:b/>
              </w:rPr>
              <w:t xml:space="preserve">separate enablement</w:t>
            </w:r>
            <w:r>
              <w:t xml:space="preserve"> </w:t>
            </w:r>
            <w:r>
              <w:t xml:space="preserve">with the vendor rather than being part of the base integration — confirm it’s in scope.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Standards-based ePA (payer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emerging FHIR path for payer-connected prior auth — CDS Hooks with CRD / DTR / PAS (ONC criteria (g)(31)–(g)(33)). Currently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alpha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Compliance-driven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HTI-4 (effective Oct 1, 2025) mandates</w:t>
            </w:r>
            <w:r>
              <w:t xml:space="preserve"> </w:t>
            </w:r>
            <w:r>
              <w:rPr>
                <w:bCs/>
                <w:b/>
              </w:rPr>
              <w:t xml:space="preserve">NCPDP SCRIPT v2023011</w:t>
            </w:r>
            <w:r>
              <w:t xml:space="preserve"> </w:t>
            </w:r>
            <w:r>
              <w:t xml:space="preserve">with ePA in the prescribing workflow and</w:t>
            </w:r>
            <w:r>
              <w:t xml:space="preserve"> </w:t>
            </w:r>
            <w:r>
              <w:rPr>
                <w:bCs/>
                <w:b/>
              </w:rPr>
              <w:t xml:space="preserve">RTPB v13</w:t>
            </w:r>
            <w:r>
              <w:t xml:space="preserve"> </w:t>
            </w:r>
            <w:r>
              <w:t xml:space="preserve">for real-time cost display. Payer ePA APIs are due</w:t>
            </w:r>
            <w:r>
              <w:t xml:space="preserve"> </w:t>
            </w:r>
            <w:r>
              <w:rPr>
                <w:bCs/>
                <w:b/>
              </w:rPr>
              <w:t xml:space="preserve">Jan 1, 2027</w:t>
            </w:r>
            <w:r>
              <w:t xml:space="preserve">; eRx modules must be certified to SCRIPT v2023011 by</w:t>
            </w:r>
            <w:r>
              <w:t xml:space="preserve"> </w:t>
            </w:r>
            <w:r>
              <w:rPr>
                <w:bCs/>
                <w:b/>
              </w:rPr>
              <w:t xml:space="preserve">Jan 1, 2028</w:t>
            </w:r>
            <w:r>
              <w:t xml:space="preserve">. Factor these into the 3.1 decision. See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HTI-4 &amp; CMS-0057-F</w:t>
              </w:r>
            </w:hyperlink>
            <w:r>
              <w:t xml:space="preserve">.</w:t>
            </w:r>
          </w:p>
        </w:tc>
      </w:tr>
    </w:tbl>
    <w:bookmarkEnd w:id="35"/>
    <w:bookmarkStart w:id="36" w:name="refills-reorders-discontinuation"/>
    <w:p>
      <w:pPr>
        <w:pStyle w:val="Heading4"/>
      </w:pPr>
      <w:r>
        <w:t xml:space="preserve">3.6 Refills, Reorders &amp; Discontinuation</w:t>
      </w:r>
    </w:p>
    <w:p>
      <w:pPr>
        <w:pStyle w:val="FirstParagraph"/>
      </w:pPr>
      <w:r>
        <w:t xml:space="preserve">How prescribers handle prescriptions after the first send.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0"/>
        </w:numPr>
        <w:pStyle w:val="Compact"/>
      </w:pPr>
      <w:r>
        <w:t xml:space="preserve">Do prescribers respond to pharmacy-initiated refill requests?</w:t>
      </w:r>
    </w:p>
    <w:p>
      <w:pPr>
        <w:numPr>
          <w:ilvl w:val="0"/>
          <w:numId w:val="1010"/>
        </w:numPr>
        <w:pStyle w:val="Compact"/>
      </w:pPr>
      <w:r>
        <w:t xml:space="preserve">Do they re-prescribe previously prescribed medications?</w:t>
      </w:r>
    </w:p>
    <w:p>
      <w:pPr>
        <w:numPr>
          <w:ilvl w:val="0"/>
          <w:numId w:val="1010"/>
        </w:numPr>
        <w:pStyle w:val="Compact"/>
      </w:pPr>
      <w:r>
        <w:t xml:space="preserve">Do you need to discontinue or expire prescriptions — automatically on change?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649"/>
        <w:gridCol w:w="5711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Pharmacy-initiated requests for more of an existing prescription; prescribers approve or deny.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Prescriber-initiated new prescription for a previously prescribed medication.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Discontinuation / 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today — no automatic discontinue-on-change or auto-expire. High-polypharmacy populations should plan an explicit medication-reconciliation workflow.</w:t>
            </w:r>
          </w:p>
        </w:tc>
      </w:tr>
    </w:tbl>
    <w:bookmarkEnd w:id="36"/>
    <w:bookmarkStart w:id="37" w:name="Xa573f0c6640e2e14ff1a171870ed2e08206db46"/>
    <w:p>
      <w:pPr>
        <w:pStyle w:val="Heading4"/>
      </w:pPr>
      <w:r>
        <w:t xml:space="preserve">3.7 Favorites, Order Sets &amp; Pediatric Prescribing</w:t>
      </w:r>
    </w:p>
    <w:p>
      <w:pPr>
        <w:pStyle w:val="FirstParagraph"/>
      </w:pPr>
      <w:r>
        <w:rPr>
          <w:bCs/>
          <w:b/>
        </w:rPr>
        <w:t xml:space="preserve">Questions:</w:t>
      </w:r>
    </w:p>
    <w:p>
      <w:pPr>
        <w:numPr>
          <w:ilvl w:val="0"/>
          <w:numId w:val="1011"/>
        </w:numPr>
        <w:pStyle w:val="Compact"/>
      </w:pPr>
      <w:r>
        <w:t xml:space="preserve">Does the practice repeatedly prescribe a common set of medications worth curating?</w:t>
      </w:r>
    </w:p>
    <w:p>
      <w:pPr>
        <w:numPr>
          <w:ilvl w:val="0"/>
          <w:numId w:val="1011"/>
        </w:numPr>
        <w:pStyle w:val="Compact"/>
      </w:pPr>
      <w:r>
        <w:t xml:space="preserve">Do you prescribe to pediatric patients?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864"/>
        <w:gridCol w:w="5496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Common medication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</w:t>
            </w:r>
            <w:r>
              <w:t xml:space="preserve"> </w:t>
            </w:r>
            <w:r>
              <w:rPr>
                <w:bCs/>
                <w:b/>
              </w:rPr>
              <w:t xml:space="preserve">clinic favorites / order sets</w:t>
            </w:r>
            <w:r>
              <w:t xml:space="preserve"> </w:t>
            </w:r>
            <w:r>
              <w:t xml:space="preserve">— curated, reusable entries, including specialty/compounded configurations. Requires an admin/clinician-admin role (3.3); confirm who may create and edit them.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Highly variable prescribing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favorites — the maintenance overhead isn’t worth it.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Pediatric 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prescriber is responsible</w:t>
            </w:r>
            <w:r>
              <w:t xml:space="preserve"> </w:t>
            </w:r>
            <w:r>
              <w:t xml:space="preserve">for dosages within guidelines for the patient’s height and weight; vendors often add pediatric validation — confirm requirements before go-live.</w:t>
            </w:r>
          </w:p>
        </w:tc>
      </w:tr>
    </w:tbl>
    <w:bookmarkEnd w:id="37"/>
    <w:bookmarkStart w:id="38" w:name="medication-history"/>
    <w:p>
      <w:pPr>
        <w:pStyle w:val="Heading4"/>
      </w:pPr>
      <w:r>
        <w:t xml:space="preserve">3.8 Medication History</w:t>
      </w:r>
    </w:p>
    <w:p>
      <w:pPr>
        <w:pStyle w:val="FirstParagraph"/>
      </w:pPr>
      <w:r>
        <w:t xml:space="preserve">Whether prescribers can see a patient’s external medication history, and the consent required to retrieve it.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2"/>
        </w:numPr>
        <w:pStyle w:val="Compact"/>
      </w:pPr>
      <w:r>
        <w:t xml:space="preserve">Do prescribers need a patient’s medication history from outside your system (pharmacy fill history, active prescriptions elsewhere)?</w:t>
      </w:r>
    </w:p>
    <w:p>
      <w:pPr>
        <w:numPr>
          <w:ilvl w:val="0"/>
          <w:numId w:val="1012"/>
        </w:numPr>
        <w:pStyle w:val="Compact"/>
      </w:pPr>
      <w:r>
        <w:t xml:space="preserve">Can you capture and record the patient consent required to query external history?</w:t>
      </w:r>
    </w:p>
    <w:p>
      <w:pPr>
        <w:numPr>
          <w:ilvl w:val="0"/>
          <w:numId w:val="1012"/>
        </w:numPr>
        <w:pStyle w:val="Compact"/>
      </w:pPr>
      <w:r>
        <w:t xml:space="preserve">Are you importing prescription history from a prior system?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563"/>
        <w:gridCol w:w="5797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Need external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Retrieved from the SureScripts network (pharmacy fill history and/or active prescriptions) — a distinct capability from writing prescriptions, so scope it explicitly.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Consent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history retrieval requires</w:t>
            </w:r>
            <w:r>
              <w:t xml:space="preserve"> </w:t>
            </w:r>
            <w:r>
              <w:rPr>
                <w:bCs/>
                <w:b/>
              </w:rPr>
              <w:t xml:space="preserve">patient consent</w:t>
            </w:r>
            <w:r>
              <w:t xml:space="preserve">; capture and record it (e.g. a</w:t>
            </w:r>
            <w:r>
              <w:t xml:space="preserve"> </w:t>
            </w: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resource) before querying, and confirm the consent language your workflow presents.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Importing prior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History migrated from a prior system generally loses prescriber/pharmacy linkage and may not appear in the vendor’s native</w:t>
            </w:r>
            <w:r>
              <w:t xml:space="preserve"> </w:t>
            </w:r>
            <w:r>
              <w:t xml:space="preserve">“</w:t>
            </w:r>
            <w:r>
              <w:t xml:space="preserve">past prescriptions</w:t>
            </w:r>
            <w:r>
              <w:t xml:space="preserve">”</w:t>
            </w:r>
            <w:r>
              <w:t xml:space="preserve"> </w:t>
            </w:r>
            <w:r>
              <w:t xml:space="preserve">view — set expectations accordingly.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practice-structure"/>
    <w:p>
      <w:pPr>
        <w:pStyle w:val="Heading3"/>
      </w:pPr>
      <w:r>
        <w:t xml:space="preserve">Practice Structure</w:t>
      </w:r>
    </w:p>
    <w:bookmarkStart w:id="40" w:name="Xe60e968d4b09eed86bb30803009999c39481e86"/>
    <w:p>
      <w:pPr>
        <w:pStyle w:val="Heading4"/>
      </w:pPr>
      <w:r>
        <w:t xml:space="preserve">3.9 Multi-Location / Multi-Practice Prescribing</w:t>
      </w:r>
    </w:p>
    <w:p>
      <w:pPr>
        <w:pStyle w:val="FirstParagraph"/>
      </w:pPr>
      <w:r>
        <w:t xml:space="preserve">Read when prescribers work across more than one location or legal entity.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3"/>
        </w:numPr>
        <w:pStyle w:val="Compact"/>
      </w:pPr>
      <w:r>
        <w:t xml:space="preserve">Do prescribers prescribe on behalf of more than one practice?</w:t>
      </w:r>
    </w:p>
    <w:p>
      <w:pPr>
        <w:numPr>
          <w:ilvl w:val="0"/>
          <w:numId w:val="1013"/>
        </w:numPr>
        <w:pStyle w:val="Compact"/>
      </w:pPr>
      <w:r>
        <w:t xml:space="preserve">How should the system know which practice a prescription belongs to?</w:t>
      </w:r>
    </w:p>
    <w:p>
      <w:pPr>
        <w:numPr>
          <w:ilvl w:val="0"/>
          <w:numId w:val="1013"/>
        </w:numPr>
        <w:pStyle w:val="Compact"/>
      </w:pPr>
      <w:r>
        <w:t xml:space="preserve">Do you need a default pharmacy per patient or per clinic?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756"/>
        <w:gridCol w:w="4604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practices/locations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each</w:t>
            </w:r>
            <w:r>
              <w:t xml:space="preserve"> </w:t>
            </w:r>
            <w:r>
              <w:rPr>
                <w:bCs/>
                <w:b/>
              </w:rPr>
              <w:t xml:space="preserve">practice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 </w:t>
            </w:r>
            <w:r>
              <w:t xml:space="preserve">(linked to a parent business-unit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partOf</w:t>
            </w:r>
            <w:r>
              <w:t xml:space="preserve">) and associate prescribers via</w:t>
            </w:r>
            <w:r>
              <w:t xml:space="preserve"> </w:t>
            </w:r>
            <w:r>
              <w:rPr>
                <w:rStyle w:val="VerbatimChar"/>
              </w:rPr>
              <w:t xml:space="preserve">PractitionerRole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Resolving the practice per prescription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Precedence: explicit organization id on the operation → the prescriber’s single affiliation → a configured default.</w:t>
            </w:r>
            <w:r>
              <w:t xml:space="preserve"> </w:t>
            </w:r>
            <w:r>
              <w:rPr>
                <w:bCs/>
                <w:b/>
              </w:rPr>
              <w:t xml:space="preserve">If a prescriber has multiple affiliations and no organization id is passed, the request errors</w:t>
            </w:r>
            <w:r>
              <w:t xml:space="preserve"> </w:t>
            </w:r>
            <w:r>
              <w:t xml:space="preserve">— pass it explicitly for them.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Default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Settable per patient or per clinic; often irrelevant for nationwide telehealth where patients are everywhere.</w:t>
            </w:r>
          </w:p>
        </w:tc>
      </w:tr>
    </w:tbl>
    <w:bookmarkEnd w:id="40"/>
    <w:bookmarkStart w:id="41" w:name="multi-tenant-platform-deployments"/>
    <w:p>
      <w:pPr>
        <w:pStyle w:val="Heading4"/>
      </w:pPr>
      <w:r>
        <w:t xml:space="preserve">3.10 Multi-Tenant / Platform Deployments</w:t>
      </w:r>
    </w:p>
    <w:p>
      <w:pPr>
        <w:pStyle w:val="FirstParagraph"/>
      </w:pPr>
      <w:r>
        <w:t xml:space="preserve">Read when one Medplum project serves multiple</w:t>
      </w:r>
      <w:r>
        <w:t xml:space="preserve"> </w:t>
      </w:r>
      <w:r>
        <w:rPr>
          <w:bCs/>
          <w:b/>
        </w:rPr>
        <w:t xml:space="preserve">downstream clients</w:t>
      </w:r>
      <w:r>
        <w:t xml:space="preserve"> </w:t>
      </w:r>
      <w:r>
        <w:t xml:space="preserve">that prescribe independently (a platform or enablement model) — distinct from one organization’s own locations (3.9). This is an architecture fork worth settling before the second client onboards.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4"/>
        </w:numPr>
        <w:pStyle w:val="Compact"/>
      </w:pPr>
      <w:r>
        <w:t xml:space="preserve">Does a single Medplum project serve multiple downstream clients or brands that prescribe independently?</w:t>
      </w:r>
    </w:p>
    <w:p>
      <w:pPr>
        <w:numPr>
          <w:ilvl w:val="0"/>
          <w:numId w:val="1014"/>
        </w:numPr>
        <w:pStyle w:val="Compact"/>
      </w:pPr>
      <w:r>
        <w:t xml:space="preserve">Must each client’s prescribers and patients be isolated from the others?</w:t>
      </w:r>
    </w:p>
    <w:p>
      <w:pPr>
        <w:numPr>
          <w:ilvl w:val="0"/>
          <w:numId w:val="1014"/>
        </w:numPr>
        <w:pStyle w:val="Compact"/>
      </w:pPr>
      <w:r>
        <w:t xml:space="preserve">Does the originating clinic’s identity or branding need to reach the pharmacy?</w:t>
      </w:r>
    </w:p>
    <w:p>
      <w:pPr>
        <w:numPr>
          <w:ilvl w:val="0"/>
          <w:numId w:val="1014"/>
        </w:numPr>
        <w:pStyle w:val="Compact"/>
      </w:pPr>
      <w:r>
        <w:t xml:space="preserve">Do downstream clients’ admins need scoped self-service access to manage their own prescribers?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4437"/>
        <w:gridCol w:w="4923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organization, many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multi-tenant — use Multi-Location (3.9).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Platform serving independent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each downstream client as its own practice/tenant so prescribers, patients, and rosters are scoped per client rather than pooled.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Roster / patient isolation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prescriber pickers and patient lists to the client’s tenant — a single shared tenant can expose one client’s prescribers or patients to another. Decide isolation before onboarding the second client.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Origin branding at the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the medication must reach the pharmacy carrying the originating clinic’s identity/branding, model a distinct tenant per client rather than one shared tenant.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Scoped admin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custom workflow</w:t>
            </w:r>
            <w:r>
              <w:t xml:space="preserve"> </w:t>
            </w:r>
            <w:r>
              <w:t xml:space="preserve">can grant client admins access scoped to their own tenant (cross-tenant admin access is blocked for HIPAA); the</w:t>
            </w:r>
            <w:r>
              <w:t xml:space="preserve"> </w:t>
            </w:r>
            <w:r>
              <w:rPr>
                <w:bCs/>
                <w:b/>
              </w:rPr>
              <w:t xml:space="preserve">hosted-iframe</w:t>
            </w:r>
            <w:r>
              <w:t xml:space="preserve"> </w:t>
            </w:r>
            <w:r>
              <w:t xml:space="preserve">path generally cannot expose a scoped admin portal — a factor in the 3.1 decision.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Shared vs. per-client tenant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single shared tenant is simplest but limits isolation and branding; a tenant-per-client isolates cleanly but adds enrollment and ops overhead (prescribers may need enrolling in each). Choose based on how much the clients must be kept apart.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4" w:name="situational"/>
    <w:p>
      <w:pPr>
        <w:pStyle w:val="Heading3"/>
      </w:pPr>
      <w:r>
        <w:t xml:space="preserve">Situational</w:t>
      </w:r>
    </w:p>
    <w:bookmarkStart w:id="43" w:name="Xc05e7dc0a018fe694ee587ad8dfd07f5ff84d89"/>
    <w:p>
      <w:pPr>
        <w:pStyle w:val="Heading4"/>
      </w:pPr>
      <w:r>
        <w:t xml:space="preserve">3.11 Migration from an Existing e-Rx System (Change of Vendor)</w:t>
      </w:r>
    </w:p>
    <w:p>
      <w:pPr>
        <w:pStyle w:val="FirstParagraph"/>
      </w:pPr>
      <w:r>
        <w:t xml:space="preserve">Read only when replacing an existing EHR or e-Rx vendor (1.3).</w:t>
      </w:r>
    </w:p>
    <w:p>
      <w:pPr>
        <w:pStyle w:val="BodyText"/>
      </w:pPr>
      <w:r>
        <w:rPr>
          <w:bCs/>
          <w:b/>
        </w:rPr>
        <w:t xml:space="preserve">Questions:</w:t>
      </w:r>
    </w:p>
    <w:p>
      <w:pPr>
        <w:numPr>
          <w:ilvl w:val="0"/>
          <w:numId w:val="1015"/>
        </w:numPr>
        <w:pStyle w:val="Compact"/>
      </w:pPr>
      <w:r>
        <w:t xml:space="preserve">Are prescribers currently sending through another system on SureScripts?</w:t>
      </w:r>
    </w:p>
    <w:p>
      <w:pPr>
        <w:numPr>
          <w:ilvl w:val="0"/>
          <w:numId w:val="1015"/>
        </w:numPr>
        <w:pStyle w:val="Compact"/>
      </w:pPr>
      <w:r>
        <w:t xml:space="preserve">Do pending refills and history need to follow prescribers over?</w:t>
      </w:r>
    </w:p>
    <w:p>
      <w:pPr>
        <w:numPr>
          <w:ilvl w:val="0"/>
          <w:numId w:val="1015"/>
        </w:numPr>
        <w:pStyle w:val="Compact"/>
      </w:pPr>
      <w:r>
        <w:t xml:space="preserve">Can migration be phased prescriber-by-prescriber, or must it be all at once?</w:t>
      </w:r>
    </w:p>
    <w:tbl>
      <w:tblPr>
        <w:tblStyle w:val="Table"/>
        <w:tblW w:w="9360" w:type="dxa"/>
        <w:tblLook w:firstRow="1" w:lastRow="0" w:firstColumn="0" w:lastColumn="0" w:noHBand="0" w:noVBand="0" w:val="0020"/>
        <w:jc w:val="start"/>
        <w:tblLayout w:type="fixed"/>
      </w:tblPr>
      <w:tblGrid>
        <w:gridCol w:w="3828"/>
        <w:gridCol w:w="5532"/>
      </w:tblGrid>
      <w:tr>
        <w:trPr>
          <w:cantSplit/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Already on SureScripts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Coordinate a</w:t>
            </w:r>
            <w:r>
              <w:t xml:space="preserve"> </w:t>
            </w:r>
            <w:r>
              <w:rPr>
                <w:bCs/>
                <w:b/>
              </w:rPr>
              <w:t xml:space="preserve">Change of Vendor</w:t>
            </w:r>
            <w:r>
              <w:t xml:space="preserve"> </w:t>
            </w:r>
            <w:r>
              <w:t xml:space="preserve">so the new system is recognized; without it, new prescriptions may work while refills and edits fail.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Preserving pending refills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approach depends on whether pending refills must be preserved vs. whether the old system must keep operating during cutover — these pull opposite ways. Scope with the vendor before scheduling.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Phased rollout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can generally be coordinated per prescriber, enabling a phased cutover.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9" w:name="related-integrations"/>
    <w:p>
      <w:pPr>
        <w:pStyle w:val="Heading2"/>
      </w:pPr>
      <w:r>
        <w:t xml:space="preserve">Related Integrations</w:t>
      </w:r>
    </w:p>
    <w:p>
      <w:pPr>
        <w:pStyle w:val="FirstParagraph"/>
      </w:pPr>
      <w:r>
        <w:t xml:space="preserve">The e-prescribing vendors Medplum integrates with first-party:</w:t>
      </w:r>
    </w:p>
    <w:p>
      <w:pPr>
        <w:numPr>
          <w:ilvl w:val="0"/>
          <w:numId w:val="1016"/>
        </w:numPr>
        <w:pStyle w:val="Compact"/>
      </w:pPr>
      <w:hyperlink r:id="rId46">
        <w:r>
          <w:rPr>
            <w:rStyle w:val="Hyperlink"/>
            <w:bCs/>
            <w:b/>
          </w:rPr>
          <w:t xml:space="preserve">ScriptSure</w:t>
        </w:r>
      </w:hyperlink>
      <w:r>
        <w:t xml:space="preserve"> </w:t>
      </w:r>
      <w:r>
        <w:t xml:space="preserve">— FHIR operations and bots, plus an authenticated iframe. The option behind the</w:t>
      </w:r>
      <w:r>
        <w:t xml:space="preserve"> </w:t>
      </w:r>
      <w:r>
        <w:rPr>
          <w:bCs/>
          <w:b/>
        </w:rPr>
        <w:t xml:space="preserve">custom workflow</w:t>
      </w:r>
      <w:r>
        <w:t xml:space="preserve"> </w:t>
      </w:r>
      <w:r>
        <w:t xml:space="preserve">in 3.1.</w:t>
      </w:r>
    </w:p>
    <w:p>
      <w:pPr>
        <w:numPr>
          <w:ilvl w:val="0"/>
          <w:numId w:val="1016"/>
        </w:numPr>
        <w:pStyle w:val="Compact"/>
      </w:pPr>
      <w:hyperlink r:id="rId47">
        <w:r>
          <w:rPr>
            <w:rStyle w:val="Hyperlink"/>
            <w:bCs/>
            <w:b/>
          </w:rPr>
          <w:t xml:space="preserve">DoseSpot</w:t>
        </w:r>
      </w:hyperlink>
      <w:r>
        <w:t xml:space="preserve"> </w:t>
      </w:r>
      <w:r>
        <w:t xml:space="preserve">— embedded iFrame prescribing, including clinic favorites (3.7) and</w:t>
      </w:r>
      <w:r>
        <w:t xml:space="preserve"> </w:t>
      </w:r>
      <w:hyperlink r:id="rId48">
        <w:r>
          <w:rPr>
            <w:rStyle w:val="Hyperlink"/>
          </w:rPr>
          <w:t xml:space="preserve">prescriber enrollment</w:t>
        </w:r>
      </w:hyperlink>
      <w:r>
        <w:t xml:space="preserve"> </w:t>
      </w:r>
      <w:r>
        <w:t xml:space="preserve">(3.2).</w:t>
      </w:r>
    </w:p>
    <w:bookmarkEnd w:id="49"/>
    <w:bookmarkEnd w:id="50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34" Target="/docs/compliance/hti-4" TargetMode="External" /><Relationship Type="http://schemas.openxmlformats.org/officeDocument/2006/relationships/hyperlink" Id="rId47" Target="/docs/integration/dosespot" TargetMode="External" /><Relationship Type="http://schemas.openxmlformats.org/officeDocument/2006/relationships/hyperlink" Id="rId48" Target="/docs/integration/dosespot/enroll-user" TargetMode="External" /><Relationship Type="http://schemas.openxmlformats.org/officeDocument/2006/relationships/hyperlink" Id="rId33" Target="/docs/integration/electronic-prior-auth" TargetMode="External" /><Relationship Type="http://schemas.openxmlformats.org/officeDocument/2006/relationships/hyperlink" Id="rId46" Target="/docs/integration/scriptsure" TargetMode="External" /><Relationship Type="http://schemas.openxmlformats.org/officeDocument/2006/relationships/hyperlink" Id="rId23" Target="/docs/medications/e-prescibe" TargetMode="External" /><Relationship Type="http://schemas.openxmlformats.org/officeDocument/2006/relationships/hyperlink" Id="rId24" Target="/solutions/medplum-eh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/docs/compliance/hti-4" TargetMode="External" /><Relationship Type="http://schemas.openxmlformats.org/officeDocument/2006/relationships/hyperlink" Id="rId47" Target="/docs/integration/dosespot" TargetMode="External" /><Relationship Type="http://schemas.openxmlformats.org/officeDocument/2006/relationships/hyperlink" Id="rId48" Target="/docs/integration/dosespot/enroll-user" TargetMode="External" /><Relationship Type="http://schemas.openxmlformats.org/officeDocument/2006/relationships/hyperlink" Id="rId33" Target="/docs/integration/electronic-prior-auth" TargetMode="External" /><Relationship Type="http://schemas.openxmlformats.org/officeDocument/2006/relationships/hyperlink" Id="rId46" Target="/docs/integration/scriptsure" TargetMode="External" /><Relationship Type="http://schemas.openxmlformats.org/officeDocument/2006/relationships/hyperlink" Id="rId23" Target="/docs/medications/e-prescibe" TargetMode="External" /><Relationship Type="http://schemas.openxmlformats.org/officeDocument/2006/relationships/hyperlink" Id="rId24" Target="/solutions/medplum-eh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