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6" w:name="scheduling-decision-guide"/>
    <w:p>
      <w:pPr>
        <w:pStyle w:val="Heading1"/>
      </w:pPr>
      <w:r>
        <w:t xml:space="preserve">Scheduling Decision Guide</w:t>
      </w:r>
    </w:p>
    <w:p>
      <w:pPr>
        <w:pStyle w:val="FirstParagraph"/>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rPr>
          <w:iCs/>
          <w:i/>
        </w:rPr>
        <w:t xml:space="preserve">Companion to the</w:t>
      </w:r>
      <w:r>
        <w:rPr>
          <w:iCs/>
          <w:i/>
        </w:rPr>
        <w:t xml:space="preserve"> </w:t>
      </w:r>
      <w:hyperlink r:id="rId23">
        <w:r>
          <w:rPr>
            <w:rStyle w:val="Hyperlink"/>
            <w:iCs/>
            <w:i/>
          </w:rPr>
          <w:t xml:space="preserve">Scheduling</w:t>
        </w:r>
      </w:hyperlink>
      <w:r>
        <w:rPr>
          <w:iCs/>
          <w:i/>
        </w:rPr>
        <w:t xml:space="preserve"> </w:t>
      </w:r>
      <w:r>
        <w:rPr>
          <w:iCs/>
          <w:i/>
        </w:rPr>
        <w:t xml:space="preserve">docs.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24">
        <w:r>
          <w:rPr>
            <w:rStyle w:val="Hyperlink"/>
          </w:rPr>
          <w:t xml:space="preserve">beta</w:t>
        </w:r>
      </w:hyperlink>
      <w:r>
        <w:t xml:space="preserve">; check the</w:t>
      </w:r>
      <w:r>
        <w:t xml:space="preserve"> </w:t>
      </w:r>
      <w:hyperlink r:id="rId25">
        <w:r>
          <w:rPr>
            <w:rStyle w:val="Hyperlink"/>
          </w:rPr>
          <w:t xml:space="preserve">beta changelog</w:t>
        </w:r>
      </w:hyperlink>
      <w:r>
        <w:t xml:space="preserve"> </w:t>
      </w:r>
      <w:r>
        <w:t xml:space="preserve">when upgrading an existing implementation.</w:t>
      </w:r>
    </w:p>
    <w:bookmarkStart w:id="26" w:name="section-1-use-case-participants"/>
    <w:p>
      <w:pPr>
        <w:pStyle w:val="Heading2"/>
      </w:pPr>
      <w:r>
        <w:t xml:space="preserve">Section 1: Use Case &amp; Participants</w:t>
      </w:r>
    </w:p>
    <w:p>
      <w:pPr>
        <w:pStyle w:val="FirstParagraph"/>
      </w:pPr>
      <w:r>
        <w:rPr>
          <w:bCs/>
          <w:b/>
        </w:rPr>
        <w:t xml:space="preserve">1.1 Who books, and on whose behalf?</w:t>
      </w:r>
    </w:p>
    <w:p>
      <w:pPr>
        <w:numPr>
          <w:ilvl w:val="0"/>
          <w:numId w:val="1001"/>
        </w:numPr>
        <w:pStyle w:val="Compact"/>
      </w:pPr>
      <w:r>
        <w:t xml:space="preserve">Patient self-service</w:t>
      </w:r>
    </w:p>
    <w:p>
      <w:pPr>
        <w:numPr>
          <w:ilvl w:val="0"/>
          <w:numId w:val="1001"/>
        </w:numPr>
        <w:pStyle w:val="Compact"/>
      </w:pPr>
      <w:r>
        <w:t xml:space="preserve">Staff booking for a patient</w:t>
      </w:r>
    </w:p>
    <w:p>
      <w:pPr>
        <w:numPr>
          <w:ilvl w:val="0"/>
          <w:numId w:val="1001"/>
        </w:numPr>
        <w:pStyle w:val="Compact"/>
      </w:pPr>
      <w:r>
        <w:t xml:space="preserve">Provider managing their own appointments</w:t>
      </w:r>
    </w:p>
    <w:p>
      <w:pPr>
        <w:numPr>
          <w:ilvl w:val="0"/>
          <w:numId w:val="1001"/>
        </w:numPr>
        <w:pStyle w:val="Compact"/>
      </w:pPr>
      <w:r>
        <w:t xml:space="preserve">System or API-driven booking</w:t>
      </w:r>
    </w:p>
    <w:p>
      <w:pPr>
        <w:numPr>
          <w:ilvl w:val="0"/>
          <w:numId w:val="1001"/>
        </w:numPr>
        <w:pStyle w:val="Compact"/>
      </w:pPr>
      <w:r>
        <w:t xml:space="preserve">A combination of these</w:t>
      </w:r>
    </w:p>
    <w:p>
      <w:pPr>
        <w:pStyle w:val="FirstParagraph"/>
      </w:pPr>
      <w:r>
        <w:rPr>
          <w:iCs/>
          <w:i/>
        </w:rPr>
        <w:t xml:space="preserve">Why: determines authentication, delegated access, and which users can change availability or make exceptions (3.4, 3.9).</w:t>
      </w:r>
    </w:p>
    <w:p>
      <w:pPr>
        <w:pStyle w:val="BodyText"/>
      </w:pPr>
      <w:r>
        <w:rPr>
          <w:bCs/>
          <w:b/>
        </w:rPr>
        <w:t xml:space="preserve">1.2 What must be available for the appointment?</w:t>
      </w:r>
    </w:p>
    <w:p>
      <w:pPr>
        <w:numPr>
          <w:ilvl w:val="0"/>
          <w:numId w:val="1002"/>
        </w:numPr>
        <w:pStyle w:val="Compact"/>
      </w:pPr>
      <w:r>
        <w:t xml:space="preserve">A clinician only</w:t>
      </w:r>
    </w:p>
    <w:p>
      <w:pPr>
        <w:numPr>
          <w:ilvl w:val="0"/>
          <w:numId w:val="1002"/>
        </w:numPr>
        <w:pStyle w:val="Compact"/>
      </w:pPr>
      <w:r>
        <w:t xml:space="preserve">Several concurrent resources, such as a clinician, room, and device</w:t>
      </w:r>
    </w:p>
    <w:p>
      <w:pPr>
        <w:numPr>
          <w:ilvl w:val="0"/>
          <w:numId w:val="1002"/>
        </w:numPr>
        <w:pStyle w:val="Compact"/>
      </w:pPr>
      <w:r>
        <w:t xml:space="preserve">A room or device without a clinician</w:t>
      </w:r>
    </w:p>
    <w:p>
      <w:pPr>
        <w:numPr>
          <w:ilvl w:val="0"/>
          <w:numId w:val="1002"/>
        </w:numPr>
        <w:pStyle w:val="Compact"/>
      </w:pPr>
      <w:r>
        <w:t xml:space="preserve">A shared resource with capacity greater than one</w:t>
      </w:r>
    </w:p>
    <w:p>
      <w:pPr>
        <w:numPr>
          <w:ilvl w:val="0"/>
          <w:numId w:val="1002"/>
        </w:numPr>
        <w:pStyle w:val="Compact"/>
      </w:pPr>
      <w:r>
        <w:t xml:space="preserve">A group session with several patients</w:t>
      </w:r>
    </w:p>
    <w:p>
      <w:pPr>
        <w:pStyle w:val="FirstParagraph"/>
      </w:pPr>
      <w:r>
        <w:rPr>
          <w:iCs/>
          <w:i/>
        </w:rPr>
        <w:t xml:space="preserve">Why: distinguishes multi-resource coordination from capacity and patient-specific workflow decisions (3.2, 3.6, 3.7).</w:t>
      </w:r>
    </w:p>
    <w:p>
      <w:pPr>
        <w:pStyle w:val="BodyText"/>
      </w:pPr>
      <w:r>
        <w:rPr>
          <w:bCs/>
          <w:b/>
        </w:rPr>
        <w:t xml:space="preserve">1.3 Does the patient choose a person, or an eligible pool?</w:t>
      </w:r>
    </w:p>
    <w:p>
      <w:pPr>
        <w:numPr>
          <w:ilvl w:val="0"/>
          <w:numId w:val="1003"/>
        </w:numPr>
        <w:pStyle w:val="Compact"/>
      </w:pPr>
      <w:r>
        <w:t xml:space="preserve">A named practitioner or care team</w:t>
      </w:r>
    </w:p>
    <w:p>
      <w:pPr>
        <w:numPr>
          <w:ilvl w:val="0"/>
          <w:numId w:val="1003"/>
        </w:numPr>
        <w:pStyle w:val="Compact"/>
      </w:pPr>
      <w:r>
        <w:t xml:space="preserve">Any practitioner qualified for the service</w:t>
      </w:r>
    </w:p>
    <w:p>
      <w:pPr>
        <w:numPr>
          <w:ilvl w:val="0"/>
          <w:numId w:val="1003"/>
        </w:numPr>
        <w:pStyle w:val="Compact"/>
      </w:pPr>
      <w:r>
        <w:t xml:space="preserve">First available, subject to preferences</w:t>
      </w:r>
    </w:p>
    <w:p>
      <w:pPr>
        <w:numPr>
          <w:ilvl w:val="0"/>
          <w:numId w:val="1003"/>
        </w:numPr>
        <w:pStyle w:val="Compact"/>
      </w:pPr>
      <w:r>
        <w:t xml:space="preserve">Staff assignment after a request</w:t>
      </w:r>
    </w:p>
    <w:p>
      <w:pPr>
        <w:pStyle w:val="FirstParagraph"/>
      </w:pPr>
      <w:r>
        <w:rPr>
          <w:iCs/>
          <w:i/>
        </w:rPr>
        <w:t xml:space="preserve">Why: determines candidate selection, hard eligibility rules, preference ranking, and what</w:t>
      </w:r>
      <w:r>
        <w:rPr>
          <w:iCs/>
          <w:i/>
        </w:rPr>
        <w:t xml:space="preserve"> </w:t>
      </w:r>
      <w:r>
        <w:rPr>
          <w:iCs/>
          <w:i/>
        </w:rPr>
        <w:t xml:space="preserve">“</w:t>
      </w:r>
      <w:r>
        <w:rPr>
          <w:iCs/>
          <w:i/>
        </w:rPr>
        <w:t xml:space="preserve">first available</w:t>
      </w:r>
      <w:r>
        <w:rPr>
          <w:iCs/>
          <w:i/>
        </w:rPr>
        <w:t xml:space="preserve">”</w:t>
      </w:r>
      <w:r>
        <w:rPr>
          <w:iCs/>
          <w:i/>
        </w:rPr>
        <w:t xml:space="preserve"> </w:t>
      </w:r>
      <w:r>
        <w:rPr>
          <w:iCs/>
          <w:i/>
        </w:rPr>
        <w:t xml:space="preserve">promises (3.5, 3.6).</w:t>
      </w:r>
    </w:p>
    <w:p>
      <w:pPr>
        <w:pStyle w:val="BodyText"/>
      </w:pPr>
      <w:r>
        <w:rPr>
          <w:bCs/>
          <w:b/>
        </w:rPr>
        <w:t xml:space="preserve">1.4 When is the appointment considered booked?</w:t>
      </w:r>
    </w:p>
    <w:p>
      <w:pPr>
        <w:numPr>
          <w:ilvl w:val="0"/>
          <w:numId w:val="1004"/>
        </w:numPr>
        <w:pStyle w:val="Compact"/>
      </w:pPr>
      <w:r>
        <w:t xml:space="preserve">Immediately after the time is selected</w:t>
      </w:r>
    </w:p>
    <w:p>
      <w:pPr>
        <w:numPr>
          <w:ilvl w:val="0"/>
          <w:numId w:val="1004"/>
        </w:numPr>
        <w:pStyle w:val="Compact"/>
      </w:pPr>
      <w:r>
        <w:t xml:space="preserve">After the patient completes another step</w:t>
      </w:r>
    </w:p>
    <w:p>
      <w:pPr>
        <w:numPr>
          <w:ilvl w:val="0"/>
          <w:numId w:val="1004"/>
        </w:numPr>
        <w:pStyle w:val="Compact"/>
      </w:pPr>
      <w:r>
        <w:t xml:space="preserve">After staff approval or authorization review</w:t>
      </w:r>
    </w:p>
    <w:p>
      <w:pPr>
        <w:numPr>
          <w:ilvl w:val="0"/>
          <w:numId w:val="1004"/>
        </w:numPr>
        <w:pStyle w:val="Compact"/>
      </w:pPr>
      <w:r>
        <w:t xml:space="preserve">After required participants respond</w:t>
      </w:r>
    </w:p>
    <w:p>
      <w:pPr>
        <w:pStyle w:val="FirstParagraph"/>
      </w:pPr>
      <w:r>
        <w:rPr>
          <w:iCs/>
          <w:i/>
        </w:rPr>
        <w:t xml:space="preserve">Why: determines whether to book immediately, reserve time with a hold, or keep a request without consuming capacity (3.8).</w:t>
      </w:r>
    </w:p>
    <w:p>
      <w:pPr>
        <w:pStyle w:val="BodyText"/>
      </w:pPr>
      <w:r>
        <w:rPr>
          <w:bCs/>
          <w:b/>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Cs/>
          <w:i/>
        </w:rPr>
        <w:t xml:space="preserve">Why: coexistence needs an explicit write authority and reconciliation policy. Existing scheduling data may also require a</w:t>
      </w:r>
      <w:r>
        <w:rPr>
          <w:iCs/>
          <w:i/>
        </w:rPr>
        <w:t xml:space="preserve"> </w:t>
      </w:r>
      <w:hyperlink r:id="rId25">
        <w:r>
          <w:rPr>
            <w:rStyle w:val="Hyperlink"/>
            <w:iCs/>
            <w:i/>
          </w:rPr>
          <w:t xml:space="preserve">beta migration</w:t>
        </w:r>
      </w:hyperlink>
      <w:r>
        <w:rPr>
          <w:iCs/>
          <w:i/>
        </w:rPr>
        <w:t xml:space="preserve"> </w:t>
      </w:r>
      <w:r>
        <w:rPr>
          <w:iCs/>
          <w:i/>
        </w:rPr>
        <w:t xml:space="preserve">(3.15).</w:t>
      </w:r>
    </w:p>
    <w:p>
      <w:pPr>
        <w:pStyle w:val="BodyText"/>
      </w:pPr>
      <w:r>
        <w:rPr>
          <w:bCs/>
          <w:b/>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Cs/>
          <w:i/>
        </w:rPr>
        <w:t xml:space="preserve">Why: identifies configuration owners, administrative permissions, and change-management requirements (3.1–3.4).</w:t>
      </w:r>
    </w:p>
    <w:p>
      <w:r>
        <w:pict>
          <v:rect style="width:0;height:1.5pt" o:hralign="center" o:hrstd="t" o:hr="t"/>
        </w:pict>
      </w:r>
    </w:p>
    <w:bookmarkEnd w:id="26"/>
    <w:bookmarkStart w:id="27"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ook w:firstRow="1" w:lastRow="0" w:firstColumn="0" w:lastColumn="0" w:noHBand="0" w:noVBand="0" w:val="0020"/>
        <w:jc w:val="start"/>
        <w:tblLayout w:type="fixed"/>
      </w:tblPr>
      <w:tblGrid>
        <w:gridCol w:w="6343"/>
        <w:gridCol w:w="1740"/>
        <w:gridCol w:w="1277"/>
      </w:tblGrid>
      <w:tr>
        <w:trPr>
          <w:cantSplit/>
          <w:tblHeader w:val="true"/>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27"/>
    <w:bookmarkStart w:id="61"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ook w:firstRow="1" w:lastRow="0" w:firstColumn="0" w:lastColumn="0" w:noHBand="0" w:noVBand="0" w:val="0020"/>
        <w:jc w:val="start"/>
        <w:tblLayout w:type="fixed"/>
      </w:tblPr>
      <w:tblGrid>
        <w:gridCol w:w="3536"/>
        <w:gridCol w:w="1860"/>
        <w:gridCol w:w="3964"/>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35" w:name="foundations"/>
    <w:p>
      <w:pPr>
        <w:pStyle w:val="Heading3"/>
      </w:pPr>
      <w:r>
        <w:t xml:space="preserve">Foundations</w:t>
      </w:r>
    </w:p>
    <w:bookmarkStart w:id="29"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28">
        <w:r>
          <w:rPr>
            <w:rStyle w:val="Hyperlink"/>
          </w:rPr>
          <w:t xml:space="preserve">Defining Availability</w:t>
        </w:r>
      </w:hyperlink>
      <w:r>
        <w:t xml:space="preserve">.</w:t>
      </w:r>
    </w:p>
    <w:p>
      <w:pPr>
        <w:pStyle w:val="BodyText"/>
      </w:pPr>
      <w:r>
        <w:rPr>
          <w:bCs/>
          <w:b/>
        </w:rPr>
        <w:t xml:space="preserve">Questions:</w:t>
      </w:r>
    </w:p>
    <w:p>
      <w:pPr>
        <w:numPr>
          <w:ilvl w:val="0"/>
          <w:numId w:val="1005"/>
        </w:numPr>
        <w:pStyle w:val="Compact"/>
      </w:pPr>
      <w:r>
        <w:t xml:space="preserve">What distinguishes one visit type from another?</w:t>
      </w:r>
    </w:p>
    <w:p>
      <w:pPr>
        <w:numPr>
          <w:ilvl w:val="0"/>
          <w:numId w:val="1005"/>
        </w:numPr>
        <w:pStyle w:val="Compact"/>
      </w:pPr>
      <w:r>
        <w:t xml:space="preserve">Which duration, start-time grid, buffers, and capacity settings are shared?</w:t>
      </w:r>
    </w:p>
    <w:p>
      <w:pPr>
        <w:numPr>
          <w:ilvl w:val="0"/>
          <w:numId w:val="1005"/>
        </w:numPr>
        <w:pStyle w:val="Compact"/>
      </w:pPr>
      <w:r>
        <w:t xml:space="preserve">Which actors or sites need different settings, and who can change them?</w:t>
      </w:r>
    </w:p>
    <w:tbl>
      <w:tblPr>
        <w:tblStyle w:val="Table"/>
        <w:tblW w:w="9360" w:type="dxa"/>
        <w:tblLook w:firstRow="1" w:lastRow="0" w:firstColumn="0" w:lastColumn="0" w:noHBand="0" w:noVBand="0" w:val="0020"/>
        <w:jc w:val="start"/>
        <w:tblLayout w:type="fixed"/>
      </w:tblPr>
      <w:tblGrid>
        <w:gridCol w:w="4213"/>
        <w:gridCol w:w="51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Cs/>
          <w:b/>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29"/>
    <w:bookmarkStart w:id="30"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Cs/>
          <w:b/>
        </w:rPr>
        <w:t xml:space="preserve">Questions:</w:t>
      </w:r>
    </w:p>
    <w:p>
      <w:pPr>
        <w:numPr>
          <w:ilvl w:val="0"/>
          <w:numId w:val="1006"/>
        </w:numPr>
        <w:pStyle w:val="Compact"/>
      </w:pPr>
      <w:r>
        <w:t xml:space="preserve">Which practitioners, rooms, and devices must be reserved?</w:t>
      </w:r>
    </w:p>
    <w:p>
      <w:pPr>
        <w:numPr>
          <w:ilvl w:val="0"/>
          <w:numId w:val="1006"/>
        </w:numPr>
        <w:pStyle w:val="Compact"/>
      </w:pPr>
      <w:r>
        <w:t xml:space="preserve">Is a Location a bookable resource, a site of service, or a jurisdiction?</w:t>
      </w:r>
    </w:p>
    <w:p>
      <w:pPr>
        <w:numPr>
          <w:ilvl w:val="0"/>
          <w:numId w:val="1006"/>
        </w:numPr>
        <w:pStyle w:val="Compact"/>
      </w:pPr>
      <w:r>
        <w:t xml:space="preserve">Are resource requirements simultaneous, or different phases of a procedure?</w:t>
      </w:r>
    </w:p>
    <w:tbl>
      <w:tblPr>
        <w:tblStyle w:val="Table"/>
        <w:tblW w:w="9360" w:type="dxa"/>
        <w:tblLook w:firstRow="1" w:lastRow="0" w:firstColumn="0" w:lastColumn="0" w:noHBand="0" w:noVBand="0" w:val="0020"/>
        <w:jc w:val="start"/>
        <w:tblLayout w:type="fixed"/>
      </w:tblPr>
      <w:tblGrid>
        <w:gridCol w:w="3999"/>
        <w:gridCol w:w="53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Record the appointment’s site</w:t>
            </w:r>
          </w:p>
        </w:tc>
        <w:tc>
          <w:tcPr/>
          <w:p>
            <w:pPr>
              <w:pStyle w:val="Compact"/>
              <w:jc w:val="left"/>
            </w:pPr>
            <w:r>
              <w:t xml:space="preserve">Store a Location reference in</w:t>
            </w:r>
            <w:r>
              <w:t xml:space="preserve"> </w:t>
            </w:r>
            <w:r>
              <w:rPr>
                <w:rStyle w:val="VerbatimChar"/>
              </w:rPr>
              <w:t xml:space="preserve">Appointment.supportingInformation</w:t>
            </w:r>
            <w:r>
              <w:t xml:space="preserve"> </w:t>
            </w:r>
            <w:r>
              <w:t xml:space="preserve">using</w:t>
            </w:r>
            <w:r>
              <w:t xml:space="preserve"> </w:t>
            </w:r>
            <w:r>
              <w:rPr>
                <w:rStyle w:val="VerbatimChar"/>
              </w:rPr>
              <w:t xml:space="preserve">toAppointmentSiteReference</w:t>
            </w:r>
            <w:r>
              <w:t xml:space="preserve"> </w:t>
            </w:r>
            <w:r>
              <w:t xml:space="preserve">from</w:t>
            </w:r>
            <w:r>
              <w:t xml:space="preserve"> </w:t>
            </w:r>
            <w:r>
              <w:rPr>
                <w:rStyle w:val="VerbatimChar"/>
              </w:rPr>
              <w:t xml:space="preserve">@medplum/core</w:t>
            </w:r>
            <w:r>
              <w:t xml:space="preserve">; read it with</w:t>
            </w:r>
            <w:r>
              <w:t xml:space="preserve"> </w:t>
            </w:r>
            <w:r>
              <w:rPr>
                <w:rStyle w:val="VerbatimChar"/>
              </w:rPr>
              <w:t xml:space="preserve">getAppointmentSite</w:t>
            </w:r>
            <w:r>
              <w:t xml:space="preserve">. This identifies the site separately from a booked room and does not reserve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30"/>
    <w:bookmarkStart w:id="31"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Cs/>
          <w:b/>
        </w:rPr>
        <w:t xml:space="preserve">Questions:</w:t>
      </w:r>
    </w:p>
    <w:p>
      <w:pPr>
        <w:numPr>
          <w:ilvl w:val="0"/>
          <w:numId w:val="1007"/>
        </w:numPr>
        <w:pStyle w:val="Compact"/>
      </w:pPr>
      <w:r>
        <w:t xml:space="preserve">Are weekly hours shared, actor-specific, or service-specific?</w:t>
      </w:r>
    </w:p>
    <w:p>
      <w:pPr>
        <w:numPr>
          <w:ilvl w:val="0"/>
          <w:numId w:val="1007"/>
        </w:numPr>
        <w:pStyle w:val="Compact"/>
      </w:pPr>
      <w:r>
        <w:t xml:space="preserve">Which time zone defines local hours and which defines the start-time grid?</w:t>
      </w:r>
    </w:p>
    <w:p>
      <w:pPr>
        <w:numPr>
          <w:ilvl w:val="0"/>
          <w:numId w:val="1007"/>
        </w:numPr>
        <w:pStyle w:val="Compact"/>
      </w:pPr>
      <w:r>
        <w:t xml:space="preserve">What are the maximum booking horizon, minimum notice, and exception rules?</w:t>
      </w:r>
    </w:p>
    <w:p>
      <w:pPr>
        <w:numPr>
          <w:ilvl w:val="0"/>
          <w:numId w:val="1007"/>
        </w:numPr>
        <w:pStyle w:val="Compact"/>
      </w:pPr>
      <w:r>
        <w:t xml:space="preserve">Who enters closures, and what happens to appointments already booked?</w:t>
      </w:r>
    </w:p>
    <w:tbl>
      <w:tblPr>
        <w:tblStyle w:val="Table"/>
        <w:tblW w:w="9360" w:type="dxa"/>
        <w:tblLook w:firstRow="1" w:lastRow="0" w:firstColumn="0" w:lastColumn="0" w:noHBand="0" w:noVBand="0" w:val="0020"/>
        <w:jc w:val="start"/>
        <w:tblLayout w:type="fixed"/>
      </w:tblPr>
      <w:tblGrid>
        <w:gridCol w:w="4342"/>
        <w:gridCol w:w="50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Cs/>
          <w:b/>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31"/>
    <w:bookmarkStart w:id="34"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32">
        <w:r>
          <w:rPr>
            <w:rStyle w:val="Hyperlink"/>
          </w:rPr>
          <w:t xml:space="preserve">AccessPolicy and ProjectMembership</w:t>
        </w:r>
      </w:hyperlink>
      <w:r>
        <w:t xml:space="preserve"> </w:t>
      </w:r>
      <w:r>
        <w:t xml:space="preserve">for data access; use the</w:t>
      </w:r>
      <w:r>
        <w:t xml:space="preserve"> </w:t>
      </w:r>
      <w:hyperlink r:id="rId33">
        <w:r>
          <w:rPr>
            <w:rStyle w:val="Hyperlink"/>
          </w:rPr>
          <w:t xml:space="preserve">Access Control Decision Guide</w:t>
        </w:r>
      </w:hyperlink>
      <w:r>
        <w:t xml:space="preserve"> </w:t>
      </w:r>
      <w:r>
        <w:t xml:space="preserve">for the broader authorization model.</w:t>
      </w:r>
    </w:p>
    <w:p>
      <w:pPr>
        <w:pStyle w:val="BodyText"/>
      </w:pPr>
      <w:r>
        <w:rPr>
          <w:bCs/>
          <w:b/>
        </w:rPr>
        <w:t xml:space="preserve">Questions:</w:t>
      </w:r>
    </w:p>
    <w:p>
      <w:pPr>
        <w:numPr>
          <w:ilvl w:val="0"/>
          <w:numId w:val="1008"/>
        </w:numPr>
        <w:pStyle w:val="Compact"/>
      </w:pPr>
      <w:r>
        <w:t xml:space="preserve">Can patients discover availability without reading other patients’ appointments?</w:t>
      </w:r>
    </w:p>
    <w:p>
      <w:pPr>
        <w:numPr>
          <w:ilvl w:val="0"/>
          <w:numId w:val="1008"/>
        </w:numPr>
        <w:pStyle w:val="Compact"/>
      </w:pPr>
      <w:r>
        <w:t xml:space="preserve">Which staff can book or cancel for which patients and organizations?</w:t>
      </w:r>
    </w:p>
    <w:p>
      <w:pPr>
        <w:numPr>
          <w:ilvl w:val="0"/>
          <w:numId w:val="1008"/>
        </w:numPr>
        <w:pStyle w:val="Compact"/>
      </w:pPr>
      <w:r>
        <w:t xml:space="preserve">Who can change shared defaults, provider hours, or blocked time?</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Rescheduling permission</w:t>
            </w:r>
          </w:p>
        </w:tc>
        <w:tc>
          <w:tcPr/>
          <w:p>
            <w:pPr>
              <w:pStyle w:val="Compact"/>
              <w:jc w:val="left"/>
            </w:pPr>
            <w:r>
              <w:t xml:space="preserve">In addition to booking access,</w:t>
            </w:r>
            <w:r>
              <w:t xml:space="preserve"> </w:t>
            </w:r>
            <w:r>
              <w:rPr>
                <w:rStyle w:val="VerbatimChar"/>
              </w:rPr>
              <w:t xml:space="preserve">$reschedule</w:t>
            </w:r>
            <w:r>
              <w:t xml:space="preserve"> </w:t>
            </w:r>
            <w:r>
              <w:t xml:space="preserve">needs Appointment read/update and Slot read/delete access. The existing Slots and their Schedules must be readable. Test these permissions explicitly; permission to book does not imply permission to move an appointment.</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34"/>
    <w:bookmarkEnd w:id="35"/>
    <w:bookmarkStart w:id="40" w:name="finding-an-appointment"/>
    <w:p>
      <w:pPr>
        <w:pStyle w:val="Heading3"/>
      </w:pPr>
      <w:r>
        <w:t xml:space="preserve">Finding an Appointment</w:t>
      </w:r>
    </w:p>
    <w:bookmarkStart w:id="37"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36">
        <w:r>
          <w:rPr>
            <w:rStyle w:val="Hyperlink"/>
          </w:rPr>
          <w:t xml:space="preserve">Matching Patients to Providers by State-by-State Licensure</w:t>
        </w:r>
      </w:hyperlink>
      <w:r>
        <w:t xml:space="preserve">.</w:t>
      </w:r>
    </w:p>
    <w:p>
      <w:pPr>
        <w:pStyle w:val="BodyText"/>
      </w:pPr>
      <w:r>
        <w:rPr>
          <w:bCs/>
          <w:b/>
        </w:rPr>
        <w:t xml:space="preserve">Questions:</w:t>
      </w:r>
    </w:p>
    <w:p>
      <w:pPr>
        <w:numPr>
          <w:ilvl w:val="0"/>
          <w:numId w:val="1009"/>
        </w:numPr>
        <w:pStyle w:val="Compact"/>
      </w:pPr>
      <w:r>
        <w:t xml:space="preserve">Is the request for a specific practitioner, a class of practitioners, or any eligible practitioner?</w:t>
      </w:r>
    </w:p>
    <w:p>
      <w:pPr>
        <w:numPr>
          <w:ilvl w:val="0"/>
          <w:numId w:val="1009"/>
        </w:numPr>
        <w:pStyle w:val="Compact"/>
      </w:pPr>
      <w:r>
        <w:t xml:space="preserve">Which requirements are hard constraints, and which preferences can be relaxed with patient agreement?</w:t>
      </w:r>
    </w:p>
    <w:p>
      <w:pPr>
        <w:numPr>
          <w:ilvl w:val="0"/>
          <w:numId w:val="1009"/>
        </w:numPr>
        <w:pStyle w:val="Compact"/>
      </w:pPr>
      <w:r>
        <w:t xml:space="preserve">Are language, practitioner gender, continuity, location, or day/time preferences relevant?</w:t>
      </w:r>
    </w:p>
    <w:p>
      <w:pPr>
        <w:numPr>
          <w:ilvl w:val="0"/>
          <w:numId w:val="1009"/>
        </w:numPr>
        <w:pStyle w:val="Compact"/>
      </w:pPr>
      <w:r>
        <w:t xml:space="preserve">Does</w:t>
      </w:r>
      <w:r>
        <w:t xml:space="preserve"> </w:t>
      </w:r>
      <w:r>
        <w:t xml:space="preserve">“</w:t>
      </w:r>
      <w:r>
        <w:t xml:space="preserve">first available</w:t>
      </w:r>
      <w:r>
        <w:t xml:space="preserve">”</w:t>
      </w:r>
      <w:r>
        <w:t xml:space="preserve"> </w:t>
      </w:r>
      <w:r>
        <w:t xml:space="preserve">mean earliest overall, earliest preferred, or earliest within a bounded search?</w:t>
      </w:r>
    </w:p>
    <w:p>
      <w:pPr>
        <w:numPr>
          <w:ilvl w:val="0"/>
          <w:numId w:val="1009"/>
        </w:numPr>
        <w:pStyle w:val="Compact"/>
      </w:pPr>
      <w:r>
        <w:t xml:space="preserve">How are equally suitable options selected, and what happens when some searches fail?</w:t>
      </w:r>
    </w:p>
    <w:tbl>
      <w:tblPr>
        <w:tblStyle w:val="Table"/>
        <w:tblW w:w="9360" w:type="dxa"/>
        <w:tblLook w:firstRow="1" w:lastRow="0" w:firstColumn="0" w:lastColumn="0" w:noHBand="0" w:noVBand="0" w:val="0020"/>
        <w:jc w:val="start"/>
        <w:tblLayout w:type="fixed"/>
      </w:tblPr>
      <w:tblGrid>
        <w:gridCol w:w="4265"/>
        <w:gridCol w:w="509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w:t>
            </w:r>
            <w:r>
              <w:t xml:space="preserve"> </w:t>
            </w:r>
            <w:r>
              <w:t xml:space="preserve">“</w:t>
            </w:r>
            <w:r>
              <w:t xml:space="preserve">no availability</w:t>
            </w:r>
            <w:r>
              <w:t xml:space="preserve">”</w:t>
            </w:r>
            <w:r>
              <w:t xml:space="preserve"> </w:t>
            </w:r>
            <w:r>
              <w:t xml:space="preserve">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37"/>
    <w:bookmarkStart w:id="39"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38">
        <w:r>
          <w:rPr>
            <w:rStyle w:val="VerbatimChar"/>
          </w:rPr>
          <w:t xml:space="preserve">$find</w:t>
        </w:r>
      </w:hyperlink>
      <w:r>
        <w:t xml:space="preserve"> </w:t>
      </w:r>
      <w:r>
        <w:t xml:space="preserve">requests the intersection of all those Schedules, not a choice among them.</w:t>
      </w:r>
    </w:p>
    <w:p>
      <w:pPr>
        <w:pStyle w:val="BodyText"/>
      </w:pPr>
      <w:r>
        <w:rPr>
          <w:bCs/>
          <w:b/>
        </w:rPr>
        <w:t xml:space="preserve">Questions:</w:t>
      </w:r>
    </w:p>
    <w:p>
      <w:pPr>
        <w:numPr>
          <w:ilvl w:val="0"/>
          <w:numId w:val="1010"/>
        </w:numPr>
        <w:pStyle w:val="Compact"/>
      </w:pPr>
      <w:r>
        <w:t xml:space="preserve">Does the appointment need one practitioner or several?</w:t>
      </w:r>
    </w:p>
    <w:p>
      <w:pPr>
        <w:numPr>
          <w:ilvl w:val="0"/>
          <w:numId w:val="1010"/>
        </w:numPr>
        <w:pStyle w:val="Compact"/>
      </w:pPr>
      <w:r>
        <w:t xml:space="preserve">Are the room and device fixed, or can any eligible one be used?</w:t>
      </w:r>
    </w:p>
    <w:p>
      <w:pPr>
        <w:numPr>
          <w:ilvl w:val="0"/>
          <w:numId w:val="1010"/>
        </w:numPr>
        <w:pStyle w:val="Compact"/>
      </w:pPr>
      <w:r>
        <w:t xml:space="preserve">How large can the candidate pool become?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39"/>
    <w:bookmarkEnd w:id="40"/>
    <w:bookmarkStart w:id="52" w:name="booking-and-managing-appointments"/>
    <w:p>
      <w:pPr>
        <w:pStyle w:val="Heading3"/>
      </w:pPr>
      <w:r>
        <w:t xml:space="preserve">Booking and Managing Appointments</w:t>
      </w:r>
    </w:p>
    <w:bookmarkStart w:id="42"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41">
        <w:r>
          <w:rPr>
            <w:rStyle w:val="Hyperlink"/>
          </w:rPr>
          <w:t xml:space="preserve">Overbooking</w:t>
        </w:r>
      </w:hyperlink>
      <w:r>
        <w:t xml:space="preserve">.</w:t>
      </w:r>
    </w:p>
    <w:p>
      <w:pPr>
        <w:pStyle w:val="BodyText"/>
      </w:pPr>
      <w:r>
        <w:rPr>
          <w:bCs/>
          <w:b/>
        </w:rPr>
        <w:t xml:space="preserve">Questions:</w:t>
      </w:r>
    </w:p>
    <w:p>
      <w:pPr>
        <w:numPr>
          <w:ilvl w:val="0"/>
          <w:numId w:val="1011"/>
        </w:numPr>
        <w:pStyle w:val="Compact"/>
      </w:pPr>
      <w:r>
        <w:t xml:space="preserve">Must each chair or room be individually assigned, or are they interchangeable?</w:t>
      </w:r>
    </w:p>
    <w:p>
      <w:pPr>
        <w:numPr>
          <w:ilvl w:val="0"/>
          <w:numId w:val="1011"/>
        </w:numPr>
        <w:pStyle w:val="Compact"/>
      </w:pPr>
      <w:r>
        <w:t xml:space="preserve">Does each patient need independent cancellation, access, clinical documentation, and billing?</w:t>
      </w:r>
    </w:p>
    <w:p>
      <w:pPr>
        <w:numPr>
          <w:ilvl w:val="0"/>
          <w:numId w:val="1011"/>
        </w:numPr>
        <w:pStyle w:val="Compact"/>
      </w:pPr>
      <w:r>
        <w:t xml:space="preserve">Does a provider participate in every concurrent booking?</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Cs/>
          <w:b/>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42"/>
    <w:bookmarkStart w:id="47"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Cs/>
          <w:b/>
        </w:rPr>
        <w:t xml:space="preserve">Questions:</w:t>
      </w:r>
    </w:p>
    <w:p>
      <w:pPr>
        <w:numPr>
          <w:ilvl w:val="0"/>
          <w:numId w:val="1012"/>
        </w:numPr>
        <w:pStyle w:val="Compact"/>
      </w:pPr>
      <w:r>
        <w:t xml:space="preserve">Does the time need protection while details or approvals are collected?</w:t>
      </w:r>
    </w:p>
    <w:p>
      <w:pPr>
        <w:numPr>
          <w:ilvl w:val="0"/>
          <w:numId w:val="1012"/>
        </w:numPr>
        <w:pStyle w:val="Compact"/>
      </w:pPr>
      <w:r>
        <w:t xml:space="preserve">Who approves, what evidence is required, and how long may a hold remain?</w:t>
      </w:r>
    </w:p>
    <w:p>
      <w:pPr>
        <w:numPr>
          <w:ilvl w:val="0"/>
          <w:numId w:val="1012"/>
        </w:numPr>
        <w:pStyle w:val="Compact"/>
      </w:pPr>
      <w:r>
        <w:t xml:space="preserve">Who releases abandoned or rejected requests?</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43">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44">
              <w:r>
                <w:rPr>
                  <w:rStyle w:val="VerbatimChar"/>
                </w:rPr>
                <w:t xml:space="preserve">$hold</w:t>
              </w:r>
            </w:hyperlink>
            <w:r>
              <w:t xml:space="preserve"> </w:t>
            </w:r>
            <w:r>
              <w:t xml:space="preserve">→</w:t>
            </w:r>
            <w:r>
              <w:t xml:space="preserve"> </w:t>
            </w:r>
            <w:hyperlink r:id="rId45">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46">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47"/>
    <w:bookmarkStart w:id="49"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w:t>
      </w:r>
      <w:r>
        <w:t xml:space="preserve"> </w:t>
      </w:r>
      <w:r>
        <w:rPr>
          <w:rStyle w:val="VerbatimChar"/>
        </w:rPr>
        <w:t xml:space="preserve">$hold</w:t>
      </w:r>
      <w:r>
        <w:t xml:space="preserve">, and</w:t>
      </w:r>
      <w:r>
        <w:t xml:space="preserve"> </w:t>
      </w:r>
      <w:r>
        <w:rPr>
          <w:rStyle w:val="VerbatimChar"/>
        </w:rPr>
        <w:t xml:space="preserve">$reschedule</w:t>
      </w:r>
      <w:r>
        <w:t xml:space="preserve"> </w:t>
      </w:r>
      <w:r>
        <w:t xml:space="preserve">recheck availability transactionally, including capacity and buffers.</w:t>
      </w:r>
    </w:p>
    <w:p>
      <w:pPr>
        <w:pStyle w:val="BodyText"/>
      </w:pPr>
      <w:r>
        <w:rPr>
          <w:bCs/>
          <w:b/>
        </w:rPr>
        <w:t xml:space="preserve">Questions:</w:t>
      </w:r>
    </w:p>
    <w:p>
      <w:pPr>
        <w:numPr>
          <w:ilvl w:val="0"/>
          <w:numId w:val="1013"/>
        </w:numPr>
        <w:pStyle w:val="Compact"/>
      </w:pPr>
      <w:r>
        <w:t xml:space="preserve">Is refresh-on-action sufficient, or does the workflow need live updates?</w:t>
      </w:r>
    </w:p>
    <w:p>
      <w:pPr>
        <w:numPr>
          <w:ilvl w:val="0"/>
          <w:numId w:val="1013"/>
        </w:numPr>
        <w:pStyle w:val="Compact"/>
      </w:pPr>
      <w:r>
        <w:t xml:space="preserve">What happens when another user books the last available capacity?</w:t>
      </w:r>
    </w:p>
    <w:p>
      <w:pPr>
        <w:numPr>
          <w:ilvl w:val="0"/>
          <w:numId w:val="1013"/>
        </w:numPr>
        <w:pStyle w:val="Compact"/>
      </w:pPr>
      <w:r>
        <w:t xml:space="preserve">Which exceptions are allowed, who authorizes them, and how are they audited?</w:t>
      </w:r>
    </w:p>
    <w:tbl>
      <w:tblPr>
        <w:tblStyle w:val="Table"/>
        <w:tblW w:w="9360" w:type="dxa"/>
        <w:tblLook w:firstRow="1" w:lastRow="0" w:firstColumn="0" w:lastColumn="0" w:noHBand="0" w:noVBand="0" w:val="0020"/>
        <w:jc w:val="start"/>
        <w:tblLayout w:type="fixed"/>
      </w:tblPr>
      <w:tblGrid>
        <w:gridCol w:w="4621"/>
        <w:gridCol w:w="47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48">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49"/>
    <w:bookmarkStart w:id="51"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Cs/>
          <w:b/>
        </w:rPr>
        <w:t xml:space="preserve">Questions:</w:t>
      </w:r>
    </w:p>
    <w:p>
      <w:pPr>
        <w:numPr>
          <w:ilvl w:val="0"/>
          <w:numId w:val="1014"/>
        </w:numPr>
        <w:pStyle w:val="Compact"/>
      </w:pPr>
      <w:r>
        <w:t xml:space="preserve">Who can cancel or move an appointment, and with what notice?</w:t>
      </w:r>
    </w:p>
    <w:p>
      <w:pPr>
        <w:numPr>
          <w:ilvl w:val="0"/>
          <w:numId w:val="1014"/>
        </w:numPr>
        <w:pStyle w:val="Compact"/>
      </w:pPr>
      <w:r>
        <w:t xml:space="preserve">Must rescheduling preserve Appointment identity and downstream references?</w:t>
      </w:r>
    </w:p>
    <w:p>
      <w:pPr>
        <w:numPr>
          <w:ilvl w:val="0"/>
          <w:numId w:val="1014"/>
        </w:numPr>
        <w:pStyle w:val="Compact"/>
      </w:pPr>
      <w:r>
        <w:t xml:space="preserve">Which arrival, no-show, and completion states are needed?</w:t>
      </w:r>
    </w:p>
    <w:p>
      <w:pPr>
        <w:numPr>
          <w:ilvl w:val="0"/>
          <w:numId w:val="1014"/>
        </w:numPr>
        <w:pStyle w:val="Compact"/>
      </w:pPr>
      <w:r>
        <w:t xml:space="preserve">When is the Encounter created, and who owns that automation?</w:t>
      </w:r>
    </w:p>
    <w:tbl>
      <w:tblPr>
        <w:tblStyle w:val="Table"/>
        <w:tblW w:w="9360" w:type="dxa"/>
        <w:tblLook w:firstRow="1" w:lastRow="0" w:firstColumn="0" w:lastColumn="0" w:noHBand="0" w:noVBand="0" w:val="0020"/>
        <w:jc w:val="start"/>
        <w:tblLayout w:type="fixed"/>
      </w:tblPr>
      <w:tblGrid>
        <w:gridCol w:w="3882"/>
        <w:gridCol w:w="547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Find a replacement time or resource</w:t>
            </w:r>
          </w:p>
        </w:tc>
        <w:tc>
          <w:tcPr/>
          <w:p>
            <w:pPr>
              <w:pStyle w:val="Compact"/>
              <w:jc w:val="left"/>
            </w:pPr>
            <w:r>
              <w:t xml:space="preserve">Pass</w:t>
            </w:r>
            <w:r>
              <w:t xml:space="preserve"> </w:t>
            </w:r>
            <w:r>
              <w:rPr>
                <w:rStyle w:val="VerbatimChar"/>
              </w:rPr>
              <w:t xml:space="preserve">ignore-appointment=Appointment/{id}</w:t>
            </w:r>
            <w:r>
              <w:t xml:space="preserve"> </w:t>
            </w:r>
            <w:r>
              <w:t xml:space="preserve">to</w:t>
            </w:r>
            <w:r>
              <w:t xml:space="preserve"> </w:t>
            </w:r>
            <w:r>
              <w:rPr>
                <w:rStyle w:val="VerbatimChar"/>
              </w:rPr>
              <w:t xml:space="preserve">$find</w:t>
            </w:r>
            <w:r>
              <w:t xml:space="preserve"> </w:t>
            </w:r>
            <w:r>
              <w:t xml:space="preserve">to exclude this appointment’s Slots, including buffers, from availability calculations. Other appointments still block. Commit the move with</w:t>
            </w:r>
            <w:r>
              <w:t xml:space="preserve"> </w:t>
            </w:r>
            <w:r>
              <w:rPr>
                <w:rStyle w:val="VerbatimChar"/>
              </w:rPr>
              <w:t xml:space="preserve">$reschedule</w:t>
            </w:r>
            <w:r>
              <w:t xml:space="preserve">;</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do not ignore the original Slots.</w:t>
            </w:r>
          </w:p>
        </w:tc>
      </w:tr>
      <w:tr>
        <w:trPr>
          <w:cantSplit/>
        </w:trPr>
        <w:tc>
          <w:tcPr/>
          <w:p>
            <w:pPr>
              <w:pStyle w:val="Compact"/>
              <w:jc w:val="left"/>
            </w:pPr>
            <w:r>
              <w:t xml:space="preserve">Move time or resources</w:t>
            </w:r>
          </w:p>
        </w:tc>
        <w:tc>
          <w:tcPr/>
          <w:p>
            <w:pPr>
              <w:pStyle w:val="Compact"/>
              <w:jc w:val="left"/>
            </w:pPr>
            <w:r>
              <w:t xml:space="preserve">Use</w:t>
            </w:r>
            <w:r>
              <w:t xml:space="preserve"> </w:t>
            </w:r>
            <w:hyperlink r:id="rId50">
              <w:r>
                <w:rPr>
                  <w:rStyle w:val="VerbatimChar"/>
                </w:rPr>
                <w:t xml:space="preserve">$reschedule</w:t>
              </w:r>
            </w:hyperlink>
            <w:r>
              <w:t xml:space="preserve"> </w:t>
            </w:r>
            <w:r>
              <w:t xml:space="preserve">for a booked or pending Appointment. Supply the new</w:t>
            </w:r>
            <w:r>
              <w:t xml:space="preserve"> </w:t>
            </w:r>
            <w:r>
              <w:rPr>
                <w:rStyle w:val="VerbatimChar"/>
              </w:rPr>
              <w:t xml:space="preserve">start</w:t>
            </w:r>
            <w:r>
              <w:t xml:space="preserve"> </w:t>
            </w:r>
            <w:r>
              <w:t xml:space="preserve">and the complete set of destination Schedules. It preserves Appointment identity and status, reconciles scheduled participants, and replaces Slots atomically. If the new time is unavailable, the original booking remains intact.</w:t>
            </w:r>
          </w:p>
        </w:tc>
      </w:tr>
      <w:tr>
        <w:trPr>
          <w:cantSplit/>
        </w:trPr>
        <w:tc>
          <w:tcPr/>
          <w:p>
            <w:pPr>
              <w:pStyle w:val="Compact"/>
              <w:jc w:val="left"/>
            </w:pPr>
            <w:r>
              <w:t xml:space="preserve">Change visit type</w:t>
            </w:r>
          </w:p>
        </w:tc>
        <w:tc>
          <w:tcPr/>
          <w:p>
            <w:pPr>
              <w:pStyle w:val="Compact"/>
              <w:jc w:val="left"/>
            </w:pPr>
            <w:r>
              <w:rPr>
                <w:rStyle w:val="VerbatimChar"/>
              </w:rPr>
              <w:t xml:space="preserve">$reschedule</w:t>
            </w:r>
            <w:r>
              <w:t xml:space="preserve"> </w:t>
            </w:r>
            <w:r>
              <w:t xml:space="preserve">retains the original service type and requires exactly one HealthcareService reference on the stored Appointment. Changing visit type requires cancel-and-book, with explicit failure/recovery handling and a new Appointment identity.</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Confirm that your server version supports</w:t>
      </w:r>
      <w:r>
        <w:t xml:space="preserve"> </w:t>
      </w:r>
      <w:r>
        <w:rPr>
          <w:rStyle w:val="VerbatimChar"/>
        </w:rPr>
        <w:t xml:space="preserve">$reschedule</w:t>
      </w:r>
      <w:r>
        <w:t xml:space="preserve"> </w:t>
      </w:r>
      <w:r>
        <w:t xml:space="preserve">before choosing this workflow. It derives duration and buffers from the scheduling configuration; omitted Schedules are removed from the appointment. Patients and other non-scheduled participants are preserved. Slot IDs change, so integrations must handle Slot deletion and creation. Site metadata in</w:t>
      </w:r>
      <w:r>
        <w:t xml:space="preserve"> </w:t>
      </w:r>
      <w:r>
        <w:rPr>
          <w:rStyle w:val="VerbatimChar"/>
        </w:rPr>
        <w:t xml:space="preserve">supportingInformation</w:t>
      </w:r>
      <w:r>
        <w:t xml:space="preserve"> </w:t>
      </w:r>
      <w:r>
        <w:t xml:space="preserve">stays unchanged; a move to another site needs an explicit metadata update in the application’s workflow.</w:t>
      </w:r>
    </w:p>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51"/>
    <w:bookmarkEnd w:id="52"/>
    <w:bookmarkStart w:id="60" w:name="conditional-workflows"/>
    <w:p>
      <w:pPr>
        <w:pStyle w:val="Heading3"/>
      </w:pPr>
      <w:r>
        <w:t xml:space="preserve">Conditional Workflows</w:t>
      </w:r>
    </w:p>
    <w:bookmarkStart w:id="53"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Cs/>
          <w:b/>
        </w:rPr>
        <w:t xml:space="preserve">Questions:</w:t>
      </w:r>
    </w:p>
    <w:p>
      <w:pPr>
        <w:numPr>
          <w:ilvl w:val="0"/>
          <w:numId w:val="1015"/>
        </w:numPr>
        <w:pStyle w:val="Compact"/>
      </w:pPr>
      <w:r>
        <w:t xml:space="preserve">Is the series finite, or maintained over a rolling horizon?</w:t>
      </w:r>
    </w:p>
    <w:p>
      <w:pPr>
        <w:numPr>
          <w:ilvl w:val="0"/>
          <w:numId w:val="1015"/>
        </w:numPr>
        <w:pStyle w:val="Compact"/>
      </w:pPr>
      <w:r>
        <w:t xml:space="preserve">Must every occurrence be available before the series is accepted?</w:t>
      </w:r>
    </w:p>
    <w:p>
      <w:pPr>
        <w:numPr>
          <w:ilvl w:val="0"/>
          <w:numId w:val="1015"/>
        </w:numPr>
        <w:pStyle w:val="Compact"/>
      </w:pPr>
      <w:r>
        <w:t xml:space="preserve">Can a user change one occurrence, all future occurrences, or the entire series?</w:t>
      </w:r>
    </w:p>
    <w:p>
      <w:pPr>
        <w:numPr>
          <w:ilvl w:val="0"/>
          <w:numId w:val="1015"/>
        </w:numPr>
        <w:pStyle w:val="Compact"/>
      </w:pPr>
      <w:r>
        <w:t xml:space="preserve">Does recurrence follow local wall-clock time across DST changes?</w:t>
      </w:r>
    </w:p>
    <w:tbl>
      <w:tblPr>
        <w:tblStyle w:val="Table"/>
        <w:tblW w:w="9360" w:type="dxa"/>
        <w:tblLook w:firstRow="1" w:lastRow="0" w:firstColumn="0" w:lastColumn="0" w:noHBand="0" w:noVBand="0" w:val="0020"/>
        <w:jc w:val="start"/>
        <w:tblLayout w:type="fixed"/>
      </w:tblPr>
      <w:tblGrid>
        <w:gridCol w:w="4499"/>
        <w:gridCol w:w="48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53"/>
    <w:bookmarkStart w:id="54"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Cs/>
          <w:b/>
        </w:rPr>
        <w:t xml:space="preserve">Questions:</w:t>
      </w:r>
    </w:p>
    <w:p>
      <w:pPr>
        <w:numPr>
          <w:ilvl w:val="0"/>
          <w:numId w:val="1016"/>
        </w:numPr>
        <w:pStyle w:val="Compact"/>
      </w:pPr>
      <w:r>
        <w:t xml:space="preserve">What service, candidates, time range, and preferences does the patient accept?</w:t>
      </w:r>
    </w:p>
    <w:p>
      <w:pPr>
        <w:numPr>
          <w:ilvl w:val="0"/>
          <w:numId w:val="1016"/>
        </w:numPr>
        <w:pStyle w:val="Compact"/>
      </w:pPr>
      <w:r>
        <w:t xml:space="preserve">How are priority and fairness determined?</w:t>
      </w:r>
    </w:p>
    <w:p>
      <w:pPr>
        <w:numPr>
          <w:ilvl w:val="0"/>
          <w:numId w:val="1016"/>
        </w:numPr>
        <w:pStyle w:val="Compact"/>
      </w:pPr>
      <w:r>
        <w:t xml:space="preserve">How long is an offer valid, and does it reserve capacity?</w:t>
      </w:r>
    </w:p>
    <w:tbl>
      <w:tblPr>
        <w:tblStyle w:val="Table"/>
        <w:tblW w:w="9360" w:type="dxa"/>
        <w:tblLook w:firstRow="1" w:lastRow="0" w:firstColumn="0" w:lastColumn="0" w:noHBand="0" w:noVBand="0" w:val="0020"/>
        <w:jc w:val="start"/>
        <w:tblLayout w:type="fixed"/>
      </w:tblPr>
      <w:tblGrid>
        <w:gridCol w:w="3648"/>
        <w:gridCol w:w="571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54"/>
    <w:bookmarkStart w:id="56"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Cs/>
          <w:b/>
        </w:rPr>
        <w:t xml:space="preserve">Questions:</w:t>
      </w:r>
    </w:p>
    <w:p>
      <w:pPr>
        <w:numPr>
          <w:ilvl w:val="0"/>
          <w:numId w:val="1017"/>
        </w:numPr>
        <w:pStyle w:val="Compact"/>
      </w:pPr>
      <w:r>
        <w:t xml:space="preserve">Which channels and timing rules apply, and in whose time zone?</w:t>
      </w:r>
    </w:p>
    <w:p>
      <w:pPr>
        <w:numPr>
          <w:ilvl w:val="0"/>
          <w:numId w:val="1017"/>
        </w:numPr>
        <w:pStyle w:val="Compact"/>
      </w:pPr>
      <w:r>
        <w:t xml:space="preserve">Can replies acknowledge, cancel, or request a change?</w:t>
      </w:r>
    </w:p>
    <w:p>
      <w:pPr>
        <w:numPr>
          <w:ilvl w:val="0"/>
          <w:numId w:val="1017"/>
        </w:numPr>
        <w:pStyle w:val="Compact"/>
      </w:pPr>
      <w:r>
        <w:t xml:space="preserve">How are reminders suppressed after cancellation or rescheduling?</w:t>
      </w:r>
    </w:p>
    <w:tbl>
      <w:tblPr>
        <w:tblStyle w:val="Table"/>
        <w:tblW w:w="9360" w:type="dxa"/>
        <w:tblLook w:firstRow="1" w:lastRow="0" w:firstColumn="0" w:lastColumn="0" w:noHBand="0" w:noVBand="0" w:val="0020"/>
        <w:jc w:val="start"/>
        <w:tblLayout w:type="fixed"/>
      </w:tblPr>
      <w:tblGrid>
        <w:gridCol w:w="3899"/>
        <w:gridCol w:w="54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55">
        <w:r>
          <w:rPr>
            <w:rStyle w:val="Hyperlink"/>
          </w:rPr>
          <w:t xml:space="preserve">Messaging &amp; Communications Decision Guide</w:t>
        </w:r>
      </w:hyperlink>
      <w:r>
        <w:t xml:space="preserve"> </w:t>
      </w:r>
      <w:r>
        <w:t xml:space="preserve">for channel, consent, and delivery design.</w:t>
      </w:r>
    </w:p>
    <w:bookmarkEnd w:id="56"/>
    <w:bookmarkStart w:id="57"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Cs/>
          <w:b/>
        </w:rPr>
        <w:t xml:space="preserve">Questions:</w:t>
      </w:r>
    </w:p>
    <w:p>
      <w:pPr>
        <w:numPr>
          <w:ilvl w:val="0"/>
          <w:numId w:val="1018"/>
        </w:numPr>
        <w:pStyle w:val="Compact"/>
      </w:pPr>
      <w:r>
        <w:t xml:space="preserve">Is the visit virtual, in-person, or selectable per booking?</w:t>
      </w:r>
    </w:p>
    <w:p>
      <w:pPr>
        <w:numPr>
          <w:ilvl w:val="0"/>
          <w:numId w:val="1018"/>
        </w:numPr>
        <w:pStyle w:val="Compact"/>
      </w:pPr>
      <w:r>
        <w:t xml:space="preserve">Is the meeting created at booking, approval, or shortly before the visit?</w:t>
      </w:r>
    </w:p>
    <w:p>
      <w:pPr>
        <w:numPr>
          <w:ilvl w:val="0"/>
          <w:numId w:val="1018"/>
        </w:numPr>
        <w:pStyle w:val="Compact"/>
      </w:pPr>
      <w:r>
        <w:t xml:space="preserve">Who can read the join details, and what happens when the visit changes?</w:t>
      </w:r>
    </w:p>
    <w:tbl>
      <w:tblPr>
        <w:tblStyle w:val="Table"/>
        <w:tblW w:w="9360" w:type="dxa"/>
        <w:tblLook w:firstRow="1" w:lastRow="0" w:firstColumn="0" w:lastColumn="0" w:noHBand="0" w:noVBand="0" w:val="0020"/>
        <w:jc w:val="start"/>
        <w:tblLayout w:type="fixed"/>
      </w:tblPr>
      <w:tblGrid>
        <w:gridCol w:w="4513"/>
        <w:gridCol w:w="48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57"/>
    <w:bookmarkStart w:id="59"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Cs/>
          <w:b/>
        </w:rPr>
        <w:t xml:space="preserve">Questions:</w:t>
      </w:r>
    </w:p>
    <w:p>
      <w:pPr>
        <w:numPr>
          <w:ilvl w:val="0"/>
          <w:numId w:val="1019"/>
        </w:numPr>
        <w:pStyle w:val="Compact"/>
      </w:pPr>
      <w:r>
        <w:t xml:space="preserve">Is the destination a personal calendar, patient calendar feed, or another clinical scheduler?</w:t>
      </w:r>
    </w:p>
    <w:p>
      <w:pPr>
        <w:numPr>
          <w:ilvl w:val="0"/>
          <w:numId w:val="1019"/>
        </w:numPr>
        <w:pStyle w:val="Compact"/>
      </w:pPr>
      <w:r>
        <w:t xml:space="preserve">Do external events block availability, and do edits move Medplum appointments?</w:t>
      </w:r>
    </w:p>
    <w:p>
      <w:pPr>
        <w:numPr>
          <w:ilvl w:val="0"/>
          <w:numId w:val="1019"/>
        </w:numPr>
        <w:pStyle w:val="Compact"/>
      </w:pPr>
      <w:r>
        <w:t xml:space="preserve">How are cancellations, recurrence exceptions, outages, and reconciliation handled?</w:t>
      </w:r>
    </w:p>
    <w:tbl>
      <w:tblPr>
        <w:tblStyle w:val="Table"/>
        <w:tblW w:w="9360" w:type="dxa"/>
        <w:tblLook w:firstRow="1" w:lastRow="0" w:firstColumn="0" w:lastColumn="0" w:noHBand="0" w:noVBand="0" w:val="0020"/>
        <w:jc w:val="start"/>
        <w:tblLayout w:type="fixed"/>
      </w:tblPr>
      <w:tblGrid>
        <w:gridCol w:w="4315"/>
        <w:gridCol w:w="504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58">
        <w:r>
          <w:rPr>
            <w:rStyle w:val="Hyperlink"/>
          </w:rPr>
          <w:t xml:space="preserve">Data Migration Decision Guide</w:t>
        </w:r>
      </w:hyperlink>
      <w:r>
        <w:t xml:space="preserve"> </w:t>
      </w:r>
      <w:r>
        <w:t xml:space="preserve">when replacing or running alongside another scheduler.</w:t>
      </w:r>
    </w:p>
    <w:bookmarkEnd w:id="59"/>
    <w:bookmarkEnd w:id="60"/>
    <w:bookmarkEnd w:id="61"/>
    <w:bookmarkStart w:id="64"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62">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63">
        <w:r>
          <w:rPr>
            <w:rStyle w:val="Hyperlink"/>
          </w:rPr>
          <w:t xml:space="preserve">Storybook</w:t>
        </w:r>
      </w:hyperlink>
      <w:r>
        <w:t xml:space="preserve">.</w:t>
      </w:r>
    </w:p>
    <w:bookmarkEnd w:id="64"/>
    <w:bookmarkStart w:id="65" w:name="before-you-implement"/>
    <w:p>
      <w:pPr>
        <w:pStyle w:val="Heading2"/>
      </w:pPr>
      <w:r>
        <w:t xml:space="preserve">Before You Implement</w:t>
      </w:r>
    </w:p>
    <w:p>
      <w:pPr>
        <w:numPr>
          <w:ilvl w:val="0"/>
          <w:numId w:val="1020"/>
        </w:numPr>
        <w:pStyle w:val="Compact"/>
      </w:pPr>
      <w:r>
        <w:t xml:space="preserve">Record the chosen service, actor, availability, and access models, with an owner for each.</w:t>
      </w:r>
    </w:p>
    <w:p>
      <w:pPr>
        <w:numPr>
          <w:ilvl w:val="0"/>
          <w:numId w:val="1020"/>
        </w:numPr>
        <w:pStyle w:val="Compact"/>
      </w:pPr>
      <w:r>
        <w:t xml:space="preserve">Separate server-supported behavior from custom workflows and unresolved product requirements.</w:t>
      </w:r>
    </w:p>
    <w:p>
      <w:pPr>
        <w:numPr>
          <w:ilvl w:val="0"/>
          <w:numId w:val="1020"/>
        </w:numPr>
        <w:pStyle w:val="Compact"/>
      </w:pPr>
      <w:r>
        <w:t xml:space="preserve">Test booking conflicts, capacity and buffers, time zones, expiry/cancellation races, and denied access using representative user roles.</w:t>
      </w:r>
    </w:p>
    <w:p>
      <w:pPr>
        <w:numPr>
          <w:ilvl w:val="0"/>
          <w:numId w:val="1020"/>
        </w:numPr>
        <w:pStyle w:val="Compact"/>
      </w:pPr>
      <w:r>
        <w:t xml:space="preserve">Define recovery for partial series bookings, failed integrations, and ambiguous responses.</w:t>
      </w:r>
    </w:p>
    <w:p>
      <w:pPr>
        <w:numPr>
          <w:ilvl w:val="0"/>
          <w:numId w:val="1020"/>
        </w:numPr>
        <w:pStyle w:val="Compact"/>
      </w:pPr>
      <w:r>
        <w:t xml:space="preserve">Confirm the server/package versions in use and review the scheduling beta changelog before launch or upgrade.</w:t>
      </w:r>
    </w:p>
    <w:p>
      <w:pPr>
        <w:numPr>
          <w:ilvl w:val="0"/>
          <w:numId w:val="1020"/>
        </w:numPr>
        <w:pStyle w:val="Compact"/>
      </w:pPr>
      <w:r>
        <w:t xml:space="preserve">Assign an owner and acceptance criteria to every Not sure answer and every custom scheduling rule.</w:t>
      </w:r>
    </w:p>
    <w:bookmarkEnd w:id="65"/>
    <w:bookmarkEnd w:id="6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