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69" w:name="access-control-decision-guide"/>
    <w:p>
      <w:pPr>
        <w:pStyle w:val="Heading1"/>
      </w:pPr>
      <w:r>
        <w:t xml:space="preserve">Access Control Decision Guide</w:t>
      </w:r>
    </w:p>
    <w:p>
      <w:pPr>
        <w:pStyle w:val="FirstParagraph"/>
      </w:pPr>
      <w:r>
        <w:t xml:space="preserve">Use this guide to define who can access which data and how organizational boundaries are enforced in Medplum. Work through tenancy, patient and practitioner sharing, role permissions, and administration to produce a membership and access-policy model. Use the</w:t>
      </w:r>
      <w:r>
        <w:t xml:space="preserve"> </w:t>
      </w:r>
      <w:hyperlink r:id="rId12">
        <w:r>
          <w:rPr>
            <w:rStyle w:val="Hyperlink"/>
          </w:rPr>
          <w:t xml:space="preserve">Authentication Decision Guide</w:t>
        </w:r>
      </w:hyperlink>
      <w:r>
        <w:t xml:space="preserve"> </w:t>
      </w:r>
      <w:r>
        <w:t xml:space="preserve">for login and identity-provider choices.</w:t>
      </w:r>
    </w:p>
    <w:p>
      <w:pPr>
        <w:pStyle w:val="BodyText"/>
      </w:pPr>
      <w:r>
        <w:rPr>
          <w:i/>
          <w:iCs/>
        </w:rPr>
        <w:t xml:space="preserve">Companion to the</w:t>
      </w:r>
      <w:r>
        <w:rPr>
          <w:i/>
          <w:iCs/>
        </w:rPr>
        <w:t xml:space="preserve"> </w:t>
      </w:r>
      <w:hyperlink r:id="rId13">
        <w:r>
          <w:rPr>
            <w:rStyle w:val="Hyperlink"/>
            <w:i/>
            <w:iCs/>
          </w:rPr>
          <w:t xml:space="preserve">Authorization and Access Control</w:t>
        </w:r>
      </w:hyperlink>
      <w:r>
        <w:rPr>
          <w:i/>
          <w:iCs/>
        </w:rPr>
        <w:t xml:space="preserve"> </w:t>
      </w:r>
      <w:r>
        <w:rPr>
          <w:i/>
          <w:iCs/>
        </w:rPr>
        <w:t xml:space="preserve">docs.</w:t>
      </w:r>
    </w:p>
    <w:p>
      <w:pPr>
        <w:pStyle w:val="BodyText"/>
      </w:pPr>
      <w:r>
        <w:t xml:space="preserve">Identify your users and organizational structure, then</w:t>
      </w:r>
      <w:r>
        <w:t xml:space="preserve"> </w:t>
      </w:r>
      <w:hyperlink w:anchor="X61abe05f109594ea1ae94120769161a7c0895c3">
        <w:r>
          <w:rPr>
            <w:rStyle w:val="Hyperlink"/>
          </w:rPr>
          <w:t xml:space="preserve">distinguish API restrictions from UI filtering</w:t>
        </w:r>
      </w:hyperlink>
      <w:r>
        <w:t xml:space="preserve">. Work through these decisions for the access the API must enforce:</w:t>
      </w:r>
    </w:p>
    <w:p>
      <w:pPr>
        <w:pStyle w:val="Compact"/>
        <w:numPr>
          <w:ilvl w:val="0"/>
          <w:numId w:val="1001"/>
        </w:numPr>
      </w:pPr>
      <w:hyperlink w:anchor="Xcecb4e14f589b61f9519f4ca8464e72fb7d268e">
        <w:r>
          <w:rPr>
            <w:rStyle w:val="Hyperlink"/>
            <w:b/>
            <w:bCs/>
          </w:rPr>
          <w:t xml:space="preserve">How will you separate and share data?</w:t>
        </w:r>
      </w:hyperlink>
      <w:r>
        <w:t xml:space="preserve"> </w:t>
      </w:r>
      <w:r>
        <w:t xml:space="preserve">For applications with internal or multi-organization isolation.</w:t>
      </w:r>
    </w:p>
    <w:p>
      <w:pPr>
        <w:pStyle w:val="Compact"/>
        <w:numPr>
          <w:ilvl w:val="0"/>
          <w:numId w:val="1001"/>
        </w:numPr>
      </w:pPr>
      <w:hyperlink w:anchor="Xbb0c278d81283a4725515975d5ae02ca213a431">
        <w:r>
          <w:rPr>
            <w:rStyle w:val="Hyperlink"/>
            <w:b/>
            <w:bCs/>
          </w:rPr>
          <w:t xml:space="preserve">Which data should each role be able to access?</w:t>
        </w:r>
      </w:hyperlink>
      <w:r>
        <w:t xml:space="preserve"> </w:t>
      </w:r>
      <w:r>
        <w:t xml:space="preserve">Define each role’s scope.</w:t>
      </w:r>
    </w:p>
    <w:p>
      <w:pPr>
        <w:pStyle w:val="Compact"/>
        <w:numPr>
          <w:ilvl w:val="0"/>
          <w:numId w:val="1001"/>
        </w:numPr>
      </w:pPr>
      <w:hyperlink w:anchor="X42a041ebbf4cde02e18f5b08766ec1c8ef5d5f3">
        <w:r>
          <w:rPr>
            <w:rStyle w:val="Hyperlink"/>
            <w:b/>
            <w:bCs/>
          </w:rPr>
          <w:t xml:space="preserve">What should each role be allowed to do?</w:t>
        </w:r>
      </w:hyperlink>
      <w:r>
        <w:t xml:space="preserve"> </w:t>
      </w:r>
      <w:r>
        <w:t xml:space="preserve">Choose permissions and any restrictions.</w:t>
      </w:r>
    </w:p>
    <w:p>
      <w:pPr>
        <w:pStyle w:val="Compact"/>
        <w:numPr>
          <w:ilvl w:val="0"/>
          <w:numId w:val="1001"/>
        </w:numPr>
      </w:pPr>
      <w:hyperlink w:anchor="Xdcf65e12ff258a894869928054da5a9ce38bb61">
        <w:r>
          <w:rPr>
            <w:rStyle w:val="Hyperlink"/>
            <w:b/>
            <w:bCs/>
          </w:rPr>
          <w:t xml:space="preserve">Who will administer users and configuration?</w:t>
        </w:r>
      </w:hyperlink>
      <w:r>
        <w:t xml:space="preserve"> </w:t>
      </w:r>
      <w:r>
        <w:t xml:space="preserve">Assign administrative responsibilities.</w:t>
      </w:r>
    </w:p>
    <w:p>
      <w:pPr>
        <w:pStyle w:val="FirstParagraph"/>
      </w:pPr>
      <w:r>
        <w:t xml:space="preserve">Also review</w:t>
      </w:r>
      <w:r>
        <w:t xml:space="preserve"> </w:t>
      </w:r>
      <w:hyperlink w:anchor="X1b3a5e1144b0225df3807e086f4dfd1a93e3c1d">
        <w:r>
          <w:rPr>
            <w:rStyle w:val="Hyperlink"/>
          </w:rPr>
          <w:t xml:space="preserve">patient and caregiver access</w:t>
        </w:r>
      </w:hyperlink>
      <w:r>
        <w:t xml:space="preserve">,</w:t>
      </w:r>
      <w:r>
        <w:t xml:space="preserve"> </w:t>
      </w:r>
      <w:hyperlink w:anchor="how-will-third-party-apps-get-access">
        <w:r>
          <w:rPr>
            <w:rStyle w:val="Hyperlink"/>
          </w:rPr>
          <w:t xml:space="preserve">third-party app access</w:t>
        </w:r>
      </w:hyperlink>
      <w:r>
        <w:t xml:space="preserve">, and</w:t>
      </w:r>
      <w:r>
        <w:t xml:space="preserve"> </w:t>
      </w:r>
      <w:hyperlink w:anchor="X0b6fa8281b5f865471d78f98975d7269c9272cd">
        <w:r>
          <w:rPr>
            <w:rStyle w:val="Hyperlink"/>
          </w:rPr>
          <w:t xml:space="preserve">IP restrictions</w:t>
        </w:r>
      </w:hyperlink>
      <w:r>
        <w:t xml:space="preserve"> </w:t>
      </w:r>
      <w:r>
        <w:t xml:space="preserve">where applicable.</w:t>
      </w:r>
    </w:p>
    <w:p>
      <w:r>
        <w:pict>
          <v:rect style="width:0;height:1.5pt" o:hralign="center" o:hrstd="t" o:hr="t"/>
        </w:pict>
      </w:r>
    </w:p>
    <w:bookmarkStart w:id="19" w:name="before-you-start"/>
    <w:p>
      <w:pPr>
        <w:pStyle w:val="Heading2"/>
      </w:pPr>
      <w:r>
        <w:t xml:space="preserve">Before you start</w:t>
      </w:r>
    </w:p>
    <w:bookmarkStart w:id="14" w:name="who-needs-access"/>
    <w:p>
      <w:pPr>
        <w:pStyle w:val="Heading3"/>
      </w:pPr>
      <w:r>
        <w:t xml:space="preserve">Who needs access?</w:t>
      </w:r>
    </w:p>
    <w:p>
      <w:pPr>
        <w:pStyle w:val="Compact"/>
        <w:numPr>
          <w:ilvl w:val="0"/>
          <w:numId w:val="1002"/>
        </w:numPr>
      </w:pPr>
      <w:r>
        <w:t xml:space="preserve">Patients / caregivers only</w:t>
      </w:r>
    </w:p>
    <w:p>
      <w:pPr>
        <w:pStyle w:val="Compact"/>
        <w:numPr>
          <w:ilvl w:val="0"/>
          <w:numId w:val="1002"/>
        </w:numPr>
      </w:pPr>
      <w:r>
        <w:t xml:space="preserve">Providers / staff / partners (clients or outside vendors) only</w:t>
      </w:r>
    </w:p>
    <w:p>
      <w:pPr>
        <w:pStyle w:val="Compact"/>
        <w:numPr>
          <w:ilvl w:val="0"/>
          <w:numId w:val="1002"/>
        </w:numPr>
      </w:pPr>
      <w:r>
        <w:t xml:space="preserve">Both</w:t>
      </w:r>
    </w:p>
    <w:bookmarkEnd w:id="14"/>
    <w:bookmarkStart w:id="15" w:name="how-is-your-organization-structured"/>
    <w:p>
      <w:pPr>
        <w:pStyle w:val="Heading3"/>
      </w:pPr>
      <w:r>
        <w:t xml:space="preserve">How is your organization structured?</w:t>
      </w:r>
    </w:p>
    <w:p>
      <w:pPr>
        <w:pStyle w:val="Compact"/>
        <w:numPr>
          <w:ilvl w:val="0"/>
          <w:numId w:val="1003"/>
        </w:numPr>
      </w:pPr>
      <w:r>
        <w:t xml:space="preserve">Single organization</w:t>
      </w:r>
    </w:p>
    <w:p>
      <w:pPr>
        <w:pStyle w:val="Compact"/>
        <w:numPr>
          <w:ilvl w:val="0"/>
          <w:numId w:val="1003"/>
        </w:numPr>
      </w:pPr>
      <w:r>
        <w:t xml:space="preserve">Multiple locations of one organization</w:t>
      </w:r>
    </w:p>
    <w:p>
      <w:pPr>
        <w:pStyle w:val="Compact"/>
        <w:numPr>
          <w:ilvl w:val="0"/>
          <w:numId w:val="1003"/>
        </w:numPr>
      </w:pPr>
      <w:r>
        <w:t xml:space="preserve">Multiple independent organizations (MSO-style)</w:t>
      </w:r>
    </w:p>
    <w:p>
      <w:pPr>
        <w:pStyle w:val="Compact"/>
        <w:numPr>
          <w:ilvl w:val="0"/>
          <w:numId w:val="1003"/>
        </w:numPr>
      </w:pPr>
      <w:r>
        <w:t xml:space="preserve">Departments or service lines within one organization</w:t>
      </w:r>
    </w:p>
    <w:p>
      <w:pPr>
        <w:pStyle w:val="Compact"/>
        <w:numPr>
          <w:ilvl w:val="0"/>
          <w:numId w:val="1003"/>
        </w:numPr>
      </w:pPr>
      <w:r>
        <w:t xml:space="preserve">Combination</w:t>
      </w:r>
    </w:p>
    <w:bookmarkEnd w:id="15"/>
    <w:bookmarkStart w:id="18" w:name="X61abe05f109594ea1ae94120769161a7c0895c3"/>
    <w:p>
      <w:pPr>
        <w:pStyle w:val="Heading3"/>
      </w:pPr>
      <w:r>
        <w:t xml:space="preserve">Does this restriction need to prevent API access, or only change what the UI displays?</w:t>
      </w:r>
    </w:p>
    <w:bookmarkStart w:id="16" w:name="option-a-prevent-access-to-the-data"/>
    <w:p>
      <w:pPr>
        <w:pStyle w:val="Heading4"/>
      </w:pPr>
      <w:r>
        <w:t xml:space="preserve">Option A: Prevent access to the data</w:t>
      </w:r>
    </w:p>
    <w:p>
      <w:pPr>
        <w:pStyle w:val="FirstParagraph"/>
      </w:pPr>
      <w:r>
        <w:t xml:space="preserve">The user must not retrieve or modify the data, including through direct API requests. Enforce the restriction through</w:t>
      </w:r>
      <w:r>
        <w:t xml:space="preserve"> </w:t>
      </w:r>
      <w:r>
        <w:rPr>
          <w:rStyle w:val="VerbatimChar"/>
        </w:rPr>
        <w:t xml:space="preserve">AccessPolicy</w:t>
      </w:r>
      <w:r>
        <w:t xml:space="preserve"> </w:t>
      </w:r>
      <w:r>
        <w:t xml:space="preserve">and</w:t>
      </w:r>
      <w:r>
        <w:t xml:space="preserve"> </w:t>
      </w:r>
      <w:r>
        <w:rPr>
          <w:rStyle w:val="VerbatimChar"/>
        </w:rPr>
        <w:t xml:space="preserve">ProjectMembership</w:t>
      </w:r>
      <w:r>
        <w:t xml:space="preserve"> </w:t>
      </w:r>
      <w:r>
        <w:t xml:space="preserve">configuration.</w:t>
      </w:r>
    </w:p>
    <w:bookmarkEnd w:id="16"/>
    <w:bookmarkStart w:id="17" w:name="option-b-change-the-displayed-view"/>
    <w:p>
      <w:pPr>
        <w:pStyle w:val="Heading4"/>
      </w:pPr>
      <w:r>
        <w:t xml:space="preserve">Option B: Change the displayed view</w:t>
      </w:r>
    </w:p>
    <w:p>
      <w:pPr>
        <w:pStyle w:val="FirstParagraph"/>
      </w:pPr>
      <w:r>
        <w:t xml:space="preserve">The user is authorized to access the data, but the application should show a narrower view. Use UI filters or display settings within the user’s permitted access.</w:t>
      </w:r>
    </w:p>
    <w:p>
      <w:pPr>
        <w:pStyle w:val="BodyText"/>
      </w:pPr>
      <w:r>
        <w:t xml:space="preserve">For example, a clinician authorized for three clinics can view one clinic at a time using a UI selector. If each session must only access one clinic’s data, its authenticated permissions must also be limited to that clinic.</w:t>
      </w:r>
    </w:p>
    <w:p>
      <w:pPr>
        <w:pStyle w:val="BodyText"/>
      </w:pPr>
      <w:r>
        <w:rPr>
          <w:b/>
          <w:bCs/>
        </w:rPr>
        <w:t xml:space="preserve">Both can apply:</w:t>
      </w:r>
      <w:r>
        <w:t xml:space="preserve"> </w:t>
      </w:r>
      <w:r>
        <w:t xml:space="preserve">the API defines the permitted access; the UI selects what to display within it. Apply this distinction to tenant boundaries, resource permissions, and individual fields throughout the guide.</w:t>
      </w:r>
    </w:p>
    <w:p>
      <w:r>
        <w:pict>
          <v:rect style="width:0;height:1.5pt" o:hralign="center" o:hrstd="t" o:hr="t"/>
        </w:pict>
      </w:r>
    </w:p>
    <w:bookmarkEnd w:id="17"/>
    <w:bookmarkEnd w:id="18"/>
    <w:bookmarkEnd w:id="19"/>
    <w:bookmarkStart w:id="35" w:name="Xcecb4e14f589b61f9519f4ca8464e72fb7d268e"/>
    <w:p>
      <w:pPr>
        <w:pStyle w:val="Heading2"/>
      </w:pPr>
      <w:r>
        <w:t xml:space="preserve">Decision 1: How will you separate and share data?</w:t>
      </w:r>
    </w:p>
    <w:p>
      <w:pPr>
        <w:pStyle w:val="FirstParagraph"/>
      </w:pPr>
      <w:r>
        <w:rPr>
          <w:b/>
          <w:bCs/>
        </w:rPr>
        <w:t xml:space="preserve">For applications that need isolation between organizations, locations, teams, or service lines.</w:t>
      </w:r>
      <w:r>
        <w:t xml:space="preserve"> </w:t>
      </w:r>
      <w:r>
        <w:t xml:space="preserve">If you have a single organization with no internal isolation, skip to</w:t>
      </w:r>
      <w:r>
        <w:t xml:space="preserve"> </w:t>
      </w:r>
      <w:hyperlink w:anchor="Xbb0c278d81283a4725515975d5ae02ca213a431">
        <w:r>
          <w:rPr>
            <w:rStyle w:val="Hyperlink"/>
          </w:rPr>
          <w:t xml:space="preserve">Decision 2</w:t>
        </w:r>
      </w:hyperlink>
      <w:r>
        <w:t xml:space="preserve">.</w:t>
      </w:r>
    </w:p>
    <w:p>
      <w:pPr>
        <w:pStyle w:val="BodyText"/>
      </w:pPr>
      <w:r>
        <w:t xml:space="preserve">Within a project, tenant isolation uses</w:t>
      </w:r>
      <w:r>
        <w:t xml:space="preserve"> </w:t>
      </w:r>
      <w:r>
        <w:rPr>
          <w:b/>
          <w:bCs/>
        </w:rPr>
        <w:t xml:space="preserve">compartments</w:t>
      </w:r>
      <w:r>
        <w:t xml:space="preserve"> </w:t>
      </w:r>
      <w:r>
        <w:t xml:space="preserve">matched by parameterized access policies. Use</w:t>
      </w:r>
      <w:r>
        <w:t xml:space="preserve"> </w:t>
      </w:r>
      <w:r>
        <w:rPr>
          <w:rStyle w:val="VerbatimChar"/>
        </w:rPr>
        <w:t xml:space="preserve">$set-accounts</w:t>
      </w:r>
      <w:r>
        <w:t xml:space="preserve"> </w:t>
      </w:r>
      <w:r>
        <w:t xml:space="preserve">to assign tenant references; Medplum computes</w:t>
      </w:r>
      <w:r>
        <w:t xml:space="preserve"> </w:t>
      </w:r>
      <w:r>
        <w:rPr>
          <w:rStyle w:val="VerbatimChar"/>
        </w:rPr>
        <w:t xml:space="preserve">meta.compartment</w:t>
      </w:r>
      <w:r>
        <w:t xml:space="preserve">. These tenant assignments extend the standard FHIR patient-compartment model.</w:t>
      </w:r>
    </w:p>
    <w:p>
      <w:pPr>
        <w:pStyle w:val="BodyText"/>
      </w:pPr>
      <w:r>
        <w:rPr>
          <w:b/>
          <w:bCs/>
        </w:rPr>
        <w:t xml:space="preserve">Recommended pattern:</w:t>
      </w:r>
      <w:r>
        <w:t xml:space="preserve"> </w:t>
      </w:r>
      <w:r>
        <w:t xml:space="preserve">Assign patients to tenants through enrollment workflows, then grant practitioners access through parameterized</w:t>
      </w:r>
      <w:r>
        <w:t xml:space="preserve"> </w:t>
      </w:r>
      <w:r>
        <w:rPr>
          <w:rStyle w:val="VerbatimChar"/>
        </w:rPr>
        <w:t xml:space="preserve">ProjectMembership.access</w:t>
      </w:r>
      <w:r>
        <w:t xml:space="preserve"> </w:t>
      </w:r>
      <w:r>
        <w:t xml:space="preserve">entries. See</w:t>
      </w:r>
      <w:r>
        <w:t xml:space="preserve"> </w:t>
      </w:r>
      <w:hyperlink r:id="rId20">
        <w:r>
          <w:rPr>
            <w:rStyle w:val="Hyperlink"/>
          </w:rPr>
          <w:t xml:space="preserve">Multi-Tenant Access Control</w:t>
        </w:r>
      </w:hyperlink>
      <w:r>
        <w:t xml:space="preserve">.</w:t>
      </w:r>
    </w:p>
    <w:bookmarkStart w:id="25" w:name="what-does-a-tenant-represent"/>
    <w:p>
      <w:pPr>
        <w:pStyle w:val="Heading3"/>
      </w:pPr>
      <w:r>
        <w:t xml:space="preserve">What does a tenant represent?</w:t>
      </w:r>
    </w:p>
    <w:p>
      <w:pPr>
        <w:pStyle w:val="FirstParagraph"/>
      </w:pPr>
      <w:r>
        <w:t xml:space="preserve">Choose what a tenant represents in your application. What do you call these groups: clinics, programs, sites, or accounts?</w:t>
      </w:r>
    </w:p>
    <w:bookmarkStart w:id="21" w:name="X75a4c232dbff175c8332acf14cf90246d443162"/>
    <w:p>
      <w:pPr>
        <w:pStyle w:val="Heading4"/>
      </w:pPr>
      <w:r>
        <w:t xml:space="preserve">Option A: Organizations, clinics, or practices</w:t>
      </w:r>
    </w:p>
    <w:p>
      <w:pPr>
        <w:pStyle w:val="FirstParagraph"/>
      </w:pPr>
      <w:r>
        <w:t xml:space="preserve">Use</w:t>
      </w:r>
      <w:r>
        <w:t xml:space="preserve"> </w:t>
      </w:r>
      <w:r>
        <w:rPr>
          <w:rStyle w:val="VerbatimChar"/>
        </w:rPr>
        <w:t xml:space="preserve">Organization</w:t>
      </w:r>
      <w:r>
        <w:t xml:space="preserve"> </w:t>
      </w:r>
      <w:r>
        <w:t xml:space="preserve">when tenants represent clinics, practices, or healthcare organizations in an MSO model.</w:t>
      </w:r>
    </w:p>
    <w:bookmarkEnd w:id="21"/>
    <w:bookmarkStart w:id="22" w:name="option-b-service-lines-or-departments"/>
    <w:p>
      <w:pPr>
        <w:pStyle w:val="Heading4"/>
      </w:pPr>
      <w:r>
        <w:t xml:space="preserve">Option B: Service lines or departments</w:t>
      </w:r>
    </w:p>
    <w:p>
      <w:pPr>
        <w:pStyle w:val="FirstParagraph"/>
      </w:pPr>
      <w:r>
        <w:t xml:space="preserve">Use</w:t>
      </w:r>
      <w:r>
        <w:t xml:space="preserve"> </w:t>
      </w:r>
      <w:r>
        <w:rPr>
          <w:rStyle w:val="VerbatimChar"/>
        </w:rPr>
        <w:t xml:space="preserve">HealthcareService</w:t>
      </w:r>
      <w:r>
        <w:t xml:space="preserve"> </w:t>
      </w:r>
      <w:r>
        <w:t xml:space="preserve">to represent functional groups within an organization.</w:t>
      </w:r>
    </w:p>
    <w:bookmarkEnd w:id="22"/>
    <w:bookmarkStart w:id="23" w:name="X850161c2f839118a2a631ad1f33e1882d930aa2"/>
    <w:p>
      <w:pPr>
        <w:pStyle w:val="Heading4"/>
      </w:pPr>
      <w:r>
        <w:t xml:space="preserve">Option C: A dedicated team for each patient</w:t>
      </w:r>
    </w:p>
    <w:p>
      <w:pPr>
        <w:pStyle w:val="FirstParagraph"/>
      </w:pPr>
      <w:r>
        <w:t xml:space="preserve">Use a</w:t>
      </w:r>
      <w:r>
        <w:t xml:space="preserve"> </w:t>
      </w:r>
      <w:r>
        <w:rPr>
          <w:rStyle w:val="VerbatimChar"/>
        </w:rPr>
        <w:t xml:space="preserve">CareTeam</w:t>
      </w:r>
      <w:r>
        <w:t xml:space="preserve"> </w:t>
      </w:r>
      <w:r>
        <w:t xml:space="preserve">per patient.</w:t>
      </w:r>
    </w:p>
    <w:bookmarkEnd w:id="23"/>
    <w:bookmarkStart w:id="24" w:name="Xf332685ec2e9f8fe49cdb1017bc3ae1e180da43"/>
    <w:p>
      <w:pPr>
        <w:pStyle w:val="Heading4"/>
      </w:pPr>
      <w:r>
        <w:t xml:space="preserve">If tenants form a hierarchy: how will access extend to child tenants?</w:t>
      </w:r>
    </w:p>
    <w:p>
      <w:pPr>
        <w:pStyle w:val="FirstParagraph"/>
      </w:pPr>
      <w:r>
        <w:t xml:space="preserve">One approach for nested tenants, such as region → clinic, is to grant access through the lowest-level tenants:</w:t>
      </w:r>
    </w:p>
    <w:p>
      <w:pPr>
        <w:pStyle w:val="Compact"/>
        <w:numPr>
          <w:ilvl w:val="0"/>
          <w:numId w:val="1004"/>
        </w:numPr>
      </w:pPr>
      <w:r>
        <w:t xml:space="preserve">Patients are tagged only at the</w:t>
      </w:r>
      <w:r>
        <w:t xml:space="preserve"> </w:t>
      </w:r>
      <w:r>
        <w:rPr>
          <w:b/>
          <w:bCs/>
        </w:rPr>
        <w:t xml:space="preserve">lowest level</w:t>
      </w:r>
      <w:r>
        <w:t xml:space="preserve"> </w:t>
      </w:r>
      <w:r>
        <w:t xml:space="preserve">they belong to.</w:t>
      </w:r>
    </w:p>
    <w:p>
      <w:pPr>
        <w:pStyle w:val="Compact"/>
        <w:numPr>
          <w:ilvl w:val="0"/>
          <w:numId w:val="1004"/>
        </w:numPr>
      </w:pPr>
      <w:r>
        <w:t xml:space="preserve">Practitioners enrolled at an intermediary level get one</w:t>
      </w:r>
      <w:r>
        <w:t xml:space="preserve"> </w:t>
      </w:r>
      <w:r>
        <w:rPr>
          <w:rStyle w:val="VerbatimChar"/>
        </w:rPr>
        <w:t xml:space="preserve">ProjectMembership.access</w:t>
      </w:r>
      <w:r>
        <w:t xml:space="preserve"> </w:t>
      </w:r>
      <w:r>
        <w:t xml:space="preserve">entry per lowest-level tenant under it (iteratively expanded).</w:t>
      </w:r>
    </w:p>
    <w:p>
      <w:pPr>
        <w:pStyle w:val="Compact"/>
        <w:numPr>
          <w:ilvl w:val="0"/>
          <w:numId w:val="1004"/>
        </w:numPr>
      </w:pPr>
      <w:r>
        <w:t xml:space="preserve">Adding a new lowest-level tenant requires a workflow to update every practitioner membership at or above that intermediary.</w:t>
      </w:r>
    </w:p>
    <w:bookmarkEnd w:id="24"/>
    <w:bookmarkEnd w:id="25"/>
    <w:bookmarkStart w:id="26" w:name="X813c7d71abbe107f83da315173f0f0ce64598ae"/>
    <w:p>
      <w:pPr>
        <w:pStyle w:val="Heading3"/>
      </w:pPr>
      <w:r>
        <w:t xml:space="preserve">Can a patient belong to one tenant or several?</w:t>
      </w:r>
    </w:p>
    <w:tbl>
      <w:tblPr>
        <w:tblStyle w:val="Table"/>
        <w:tblW w:w="9360" w:type="dxa"/>
        <w:tblLayout w:type="fixed"/>
        <w:tblLook w:firstRow="1" w:lastRow="0" w:firstColumn="0" w:lastColumn="0" w:noHBand="0" w:noVBand="0" w:val="0020"/>
      </w:tblPr>
      <w:tblGrid>
        <w:gridCol w:w="4036"/>
        <w:gridCol w:w="5324"/>
      </w:tblGrid>
      <w:tr>
        <w:trPr>
          <w:cantSplit/>
          <w:tblHeader w:val="on"/>
        </w:trPr>
        <w:tc>
          <w:tcPr/>
          <w:p>
            <w:pPr>
              <w:pStyle w:val="Compact"/>
              <w:jc w:val="left"/>
            </w:pPr>
            <w:r>
              <w:t xml:space="preserve">Patient access</w:t>
            </w:r>
          </w:p>
        </w:tc>
        <w:tc>
          <w:tcPr/>
          <w:p>
            <w:pPr>
              <w:pStyle w:val="Compact"/>
              <w:jc w:val="left"/>
            </w:pPr>
            <w:r>
              <w:t xml:space="preserve">Approach</w:t>
            </w:r>
          </w:p>
        </w:tc>
      </w:tr>
      <w:tr>
        <w:trPr>
          <w:cantSplit/>
        </w:trPr>
        <w:tc>
          <w:tcPr/>
          <w:p>
            <w:pPr>
              <w:pStyle w:val="Compact"/>
              <w:jc w:val="left"/>
            </w:pPr>
            <w:r>
              <w:t xml:space="preserve">One tenant per patient</w:t>
            </w:r>
          </w:p>
        </w:tc>
        <w:tc>
          <w:tcPr/>
          <w:p>
            <w:pPr>
              <w:pStyle w:val="Compact"/>
              <w:jc w:val="left"/>
            </w:pPr>
            <w:r>
              <w:t xml:space="preserve">One tenant assignment on the Patient</w:t>
            </w:r>
          </w:p>
        </w:tc>
      </w:tr>
      <w:tr>
        <w:trPr>
          <w:cantSplit/>
        </w:trPr>
        <w:tc>
          <w:tcPr/>
          <w:p>
            <w:pPr>
              <w:pStyle w:val="Compact"/>
              <w:jc w:val="left"/>
            </w:pPr>
            <w:r>
              <w:t xml:space="preserve">Patient shared across tenants</w:t>
            </w:r>
          </w:p>
        </w:tc>
        <w:tc>
          <w:tcPr/>
          <w:p>
            <w:pPr>
              <w:pStyle w:val="Compact"/>
              <w:jc w:val="left"/>
            </w:pPr>
            <w:r>
              <w:t xml:space="preserve">Multiple tenant assignments on the Patient</w:t>
            </w:r>
          </w:p>
        </w:tc>
      </w:tr>
    </w:tbl>
    <w:bookmarkEnd w:id="26"/>
    <w:bookmarkStart w:id="27" w:name="X53c74cada054b2191e6b0544543092d4fa68379"/>
    <w:p>
      <w:pPr>
        <w:pStyle w:val="Heading3"/>
      </w:pPr>
      <w:r>
        <w:t xml:space="preserve">Are practitioners visible across tenants or only within their own?</w:t>
      </w:r>
    </w:p>
    <w:tbl>
      <w:tblPr>
        <w:tblStyle w:val="Table"/>
        <w:tblW w:w="9360" w:type="dxa"/>
        <w:tblLayout w:type="fixed"/>
        <w:tblLook w:firstRow="1" w:lastRow="0" w:firstColumn="0" w:lastColumn="0" w:noHBand="0" w:noVBand="0" w:val="0020"/>
      </w:tblPr>
      <w:tblGrid>
        <w:gridCol w:w="4680"/>
        <w:gridCol w:w="4680"/>
      </w:tblGrid>
      <w:tr>
        <w:trPr>
          <w:cantSplit/>
          <w:tblHeader w:val="on"/>
        </w:trPr>
        <w:tc>
          <w:tcPr/>
          <w:p>
            <w:pPr>
              <w:pStyle w:val="Compact"/>
              <w:jc w:val="left"/>
            </w:pPr>
            <w:r>
              <w:t xml:space="preserve">Practitioner visibility</w:t>
            </w:r>
          </w:p>
        </w:tc>
        <w:tc>
          <w:tcPr/>
          <w:p>
            <w:pPr>
              <w:pStyle w:val="Compact"/>
              <w:jc w:val="left"/>
            </w:pPr>
            <w:r>
              <w:t xml:space="preserve">Approach</w:t>
            </w:r>
          </w:p>
        </w:tc>
      </w:tr>
      <w:tr>
        <w:trPr>
          <w:cantSplit/>
        </w:trPr>
        <w:tc>
          <w:tcPr/>
          <w:p>
            <w:pPr>
              <w:pStyle w:val="Compact"/>
              <w:jc w:val="left"/>
            </w:pPr>
            <w:r>
              <w:t xml:space="preserve">Shared across tenants (global directory)</w:t>
            </w:r>
          </w:p>
        </w:tc>
        <w:tc>
          <w:tcPr/>
          <w:p>
            <w:pPr>
              <w:pStyle w:val="Compact"/>
              <w:jc w:val="left"/>
            </w:pPr>
            <w:r>
              <w:t xml:space="preserve">Allow</w:t>
            </w:r>
            <w:r>
              <w:t xml:space="preserve"> </w:t>
            </w:r>
            <w:r>
              <w:rPr>
                <w:rStyle w:val="VerbatimChar"/>
              </w:rPr>
              <w:t xml:space="preserve">Practitioner</w:t>
            </w:r>
            <w:r>
              <w:t xml:space="preserve"> </w:t>
            </w:r>
            <w:r>
              <w:t xml:space="preserve">reads without a tenant filter</w:t>
            </w:r>
          </w:p>
        </w:tc>
      </w:tr>
      <w:tr>
        <w:trPr>
          <w:cantSplit/>
        </w:trPr>
        <w:tc>
          <w:tcPr/>
          <w:p>
            <w:pPr>
              <w:pStyle w:val="Compact"/>
              <w:jc w:val="left"/>
            </w:pPr>
            <w:r>
              <w:t xml:space="preserve">Visible only within their tenant</w:t>
            </w:r>
          </w:p>
        </w:tc>
        <w:tc>
          <w:tcPr/>
          <w:p>
            <w:pPr>
              <w:pStyle w:val="Compact"/>
              <w:jc w:val="left"/>
            </w:pPr>
            <w:r>
              <w:t xml:space="preserve">Tag with tenant compartment; policy filters by</w:t>
            </w:r>
            <w:r>
              <w:t xml:space="preserve"> </w:t>
            </w:r>
            <w:r>
              <w:rPr>
                <w:rStyle w:val="VerbatimChar"/>
              </w:rPr>
              <w:t xml:space="preserve">_compartment</w:t>
            </w:r>
          </w:p>
        </w:tc>
      </w:tr>
    </w:tbl>
    <w:bookmarkEnd w:id="27"/>
    <w:bookmarkStart w:id="30" w:name="X29e3e426735ba765c9aac8ade72e94c468c1446"/>
    <w:p>
      <w:pPr>
        <w:pStyle w:val="Heading3"/>
      </w:pPr>
      <w:r>
        <w:t xml:space="preserve">Which resources are shared across tenants?</w:t>
      </w:r>
    </w:p>
    <w:p>
      <w:pPr>
        <w:pStyle w:val="FirstParagraph"/>
      </w:pPr>
      <w:r>
        <w:t xml:space="preserve">For terminology (</w:t>
      </w:r>
      <w:r>
        <w:rPr>
          <w:rStyle w:val="VerbatimChar"/>
        </w:rPr>
        <w:t xml:space="preserve">CodeSystem</w:t>
      </w:r>
      <w:r>
        <w:t xml:space="preserve">,</w:t>
      </w:r>
      <w:r>
        <w:t xml:space="preserve"> </w:t>
      </w:r>
      <w:r>
        <w:rPr>
          <w:rStyle w:val="VerbatimChar"/>
        </w:rPr>
        <w:t xml:space="preserve">ValueSet</w:t>
      </w:r>
      <w:r>
        <w:t xml:space="preserve">), Questionnaires, PlanDefinitions, and ActivityDefinitions, decide whether resources are shared or tenant-specific. Also identify any resources shared across projects.</w:t>
      </w:r>
    </w:p>
    <w:tbl>
      <w:tblPr>
        <w:tblStyle w:val="Table"/>
        <w:tblW w:w="9360" w:type="dxa"/>
        <w:tblLayout w:type="fixed"/>
        <w:tblLook w:firstRow="1" w:lastRow="0" w:firstColumn="0" w:lastColumn="0" w:noHBand="0" w:noVBand="0" w:val="0020"/>
      </w:tblPr>
      <w:tblGrid>
        <w:gridCol w:w="4547"/>
        <w:gridCol w:w="481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All resources of a type are shared</w:t>
            </w:r>
          </w:p>
        </w:tc>
        <w:tc>
          <w:tcPr/>
          <w:p>
            <w:pPr>
              <w:pStyle w:val="Compact"/>
              <w:jc w:val="left"/>
            </w:pPr>
            <w:r>
              <w:t xml:space="preserve">Allow reads without a tenant filter for that type</w:t>
            </w:r>
          </w:p>
        </w:tc>
      </w:tr>
      <w:tr>
        <w:trPr>
          <w:cantSplit/>
        </w:trPr>
        <w:tc>
          <w:tcPr/>
          <w:p>
            <w:pPr>
              <w:pStyle w:val="Compact"/>
              <w:jc w:val="left"/>
            </w:pPr>
            <w:r>
              <w:t xml:space="preserve">Tenant-specific Questionnaires</w:t>
            </w:r>
          </w:p>
        </w:tc>
        <w:tc>
          <w:tcPr/>
          <w:p>
            <w:pPr>
              <w:pStyle w:val="Compact"/>
              <w:jc w:val="left"/>
            </w:pPr>
            <w:r>
              <w:t xml:space="preserve">Use</w:t>
            </w:r>
            <w:r>
              <w:t xml:space="preserve"> </w:t>
            </w:r>
            <w:r>
              <w:rPr>
                <w:rStyle w:val="VerbatimChar"/>
              </w:rPr>
              <w:t xml:space="preserve">$set-accounts</w:t>
            </w:r>
            <w:r>
              <w:t xml:space="preserve"> </w:t>
            </w:r>
            <w:r>
              <w:t xml:space="preserve">to assign the tenant; filter by</w:t>
            </w:r>
            <w:r>
              <w:t xml:space="preserve"> </w:t>
            </w:r>
            <w:r>
              <w:rPr>
                <w:rStyle w:val="VerbatimChar"/>
              </w:rPr>
              <w:t xml:space="preserve">_compartment</w:t>
            </w:r>
          </w:p>
        </w:tc>
      </w:tr>
      <w:tr>
        <w:trPr>
          <w:cantSplit/>
        </w:trPr>
        <w:tc>
          <w:tcPr/>
          <w:p>
            <w:pPr>
              <w:pStyle w:val="Compact"/>
              <w:jc w:val="left"/>
            </w:pPr>
            <w:r>
              <w:t xml:space="preserve">Some resources of a type are shared</w:t>
            </w:r>
          </w:p>
        </w:tc>
        <w:tc>
          <w:tcPr/>
          <w:p>
            <w:pPr>
              <w:pStyle w:val="Compact"/>
              <w:jc w:val="left"/>
            </w:pPr>
            <w:r>
              <w:t xml:space="preserve">Use separate criteria for authorized tenant resources and explicitly designated shared resources. An unfiltered rule would also expose other tenants’ resources</w:t>
            </w:r>
          </w:p>
        </w:tc>
      </w:tr>
      <w:tr>
        <w:trPr>
          <w:cantSplit/>
        </w:trPr>
        <w:tc>
          <w:tcPr/>
          <w:p>
            <w:pPr>
              <w:pStyle w:val="Compact"/>
              <w:jc w:val="left"/>
            </w:pPr>
            <w:r>
              <w:t xml:space="preserve">Bots used across tenants</w:t>
            </w:r>
          </w:p>
        </w:tc>
        <w:tc>
          <w:tcPr/>
          <w:p>
            <w:pPr>
              <w:pStyle w:val="Compact"/>
              <w:jc w:val="left"/>
            </w:pPr>
            <w:r>
              <w:t xml:space="preserve">Configure access to the Bot separately from its execution permissions; by default it uses its own</w:t>
            </w:r>
            <w:r>
              <w:t xml:space="preserve"> </w:t>
            </w:r>
            <w:r>
              <w:rPr>
                <w:rStyle w:val="VerbatimChar"/>
              </w:rPr>
              <w:t xml:space="preserve">ProjectMembership</w:t>
            </w:r>
            <w:r>
              <w:t xml:space="preserve"> </w:t>
            </w:r>
            <w:r>
              <w:t xml:space="preserve">policy</w:t>
            </w:r>
          </w:p>
        </w:tc>
      </w:tr>
      <w:tr>
        <w:trPr>
          <w:cantSplit/>
        </w:trPr>
        <w:tc>
          <w:tcPr/>
          <w:p>
            <w:pPr>
              <w:pStyle w:val="Compact"/>
              <w:jc w:val="left"/>
            </w:pPr>
            <w:r>
              <w:t xml:space="preserve">Reference data shared across projects</w:t>
            </w:r>
          </w:p>
        </w:tc>
        <w:tc>
          <w:tcPr/>
          <w:p>
            <w:pPr>
              <w:pStyle w:val="Compact"/>
              <w:jc w:val="left"/>
            </w:pPr>
            <w:r>
              <w:t xml:space="preserve">A super admin configures a linked project and its exported resource types; access through the link is read-only and still subject to policy</w:t>
            </w:r>
          </w:p>
        </w:tc>
      </w:tr>
    </w:tbl>
    <w:p>
      <w:pPr>
        <w:pStyle w:val="BodyText"/>
      </w:pPr>
      <w:r>
        <w:t xml:space="preserve">Allow the terminology resources your UI needs; overly restrictive policies can leave dropdowns empty. For Bots, see</w:t>
      </w:r>
      <w:r>
        <w:t xml:space="preserve"> </w:t>
      </w:r>
      <w:hyperlink r:id="rId28">
        <w:r>
          <w:rPr>
            <w:rStyle w:val="Hyperlink"/>
          </w:rPr>
          <w:t xml:space="preserve">Run as User</w:t>
        </w:r>
      </w:hyperlink>
      <w:r>
        <w:t xml:space="preserve">; for shared reference data, see</w:t>
      </w:r>
      <w:r>
        <w:t xml:space="preserve"> </w:t>
      </w:r>
      <w:hyperlink r:id="rId29">
        <w:r>
          <w:rPr>
            <w:rStyle w:val="Hyperlink"/>
          </w:rPr>
          <w:t xml:space="preserve">Linked Projects</w:t>
        </w:r>
      </w:hyperlink>
      <w:r>
        <w:t xml:space="preserve">.</w:t>
      </w:r>
    </w:p>
    <w:bookmarkEnd w:id="30"/>
    <w:bookmarkStart w:id="34" w:name="Xec55fb0e81d97ea3a2e0be5cf21ff9205af44dd"/>
    <w:p>
      <w:pPr>
        <w:pStyle w:val="Heading3"/>
      </w:pPr>
      <w:r>
        <w:t xml:space="preserve">How will patients be enrolled or transferred between tenants?</w:t>
      </w:r>
    </w:p>
    <w:p>
      <w:pPr>
        <w:pStyle w:val="FirstParagraph"/>
      </w:pPr>
      <w:r>
        <w:rPr>
          <w:b/>
          <w:bCs/>
        </w:rPr>
        <w:t xml:space="preserve">Questions:</w:t>
      </w:r>
    </w:p>
    <w:p>
      <w:pPr>
        <w:pStyle w:val="Compact"/>
        <w:numPr>
          <w:ilvl w:val="0"/>
          <w:numId w:val="1005"/>
        </w:numPr>
      </w:pPr>
      <w:r>
        <w:t xml:space="preserve">When does a patient get enrolled in a tenant? (registration, first appointment, referral, insurance, geography)</w:t>
      </w:r>
    </w:p>
    <w:p>
      <w:pPr>
        <w:pStyle w:val="Compact"/>
        <w:numPr>
          <w:ilvl w:val="0"/>
          <w:numId w:val="1005"/>
        </w:numPr>
      </w:pPr>
      <w:r>
        <w:t xml:space="preserve">Who is authorized to move a patient between tenants?</w:t>
      </w:r>
    </w:p>
    <w:p>
      <w:pPr>
        <w:pStyle w:val="Compact"/>
        <w:numPr>
          <w:ilvl w:val="0"/>
          <w:numId w:val="1005"/>
        </w:numPr>
      </w:pPr>
      <w:r>
        <w:t xml:space="preserve">On transfer: do records follow the patient, stay with the original tenant, or become shared?</w:t>
      </w:r>
    </w:p>
    <w:tbl>
      <w:tblPr>
        <w:tblStyle w:val="Table"/>
        <w:tblW w:w="9360" w:type="dxa"/>
        <w:tblLayout w:type="fixed"/>
        <w:tblLook w:firstRow="1" w:lastRow="0" w:firstColumn="0" w:lastColumn="0" w:noHBand="0" w:noVBand="0" w:val="0020"/>
      </w:tblPr>
      <w:tblGrid>
        <w:gridCol w:w="4680"/>
        <w:gridCol w:w="468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Patient enrollment</w:t>
            </w:r>
          </w:p>
        </w:tc>
        <w:tc>
          <w:tcPr/>
          <w:p>
            <w:pPr>
              <w:pStyle w:val="Compact"/>
              <w:jc w:val="left"/>
            </w:pPr>
            <w:r>
              <w:t xml:space="preserve">An authorized admin or Bot calls</w:t>
            </w:r>
            <w:r>
              <w:t xml:space="preserve"> </w:t>
            </w:r>
            <w:hyperlink r:id="rId31">
              <w:r>
                <w:rPr>
                  <w:rStyle w:val="VerbatimChar"/>
                </w:rPr>
                <w:t xml:space="preserve">$set-accounts</w:t>
              </w:r>
            </w:hyperlink>
            <w:r>
              <w:t xml:space="preserve"> </w:t>
            </w:r>
            <w:r>
              <w:t xml:space="preserve">with the full tenant list; use</w:t>
            </w:r>
            <w:r>
              <w:t xml:space="preserve"> </w:t>
            </w:r>
            <w:r>
              <w:rPr>
                <w:rStyle w:val="VerbatimChar"/>
              </w:rPr>
              <w:t xml:space="preserve">propagate: true</w:t>
            </w:r>
            <w:r>
              <w:t xml:space="preserve"> </w:t>
            </w:r>
            <w:r>
              <w:t xml:space="preserve">to update existing patient-compartment resources</w:t>
            </w:r>
          </w:p>
        </w:tc>
      </w:tr>
      <w:tr>
        <w:trPr>
          <w:cantSplit/>
        </w:trPr>
        <w:tc>
          <w:tcPr/>
          <w:p>
            <w:pPr>
              <w:pStyle w:val="Compact"/>
              <w:jc w:val="left"/>
            </w:pPr>
            <w:r>
              <w:t xml:space="preserve">Transfer all patient-compartment data</w:t>
            </w:r>
          </w:p>
        </w:tc>
        <w:tc>
          <w:tcPr/>
          <w:p>
            <w:pPr>
              <w:pStyle w:val="Compact"/>
              <w:jc w:val="left"/>
            </w:pPr>
            <w:r>
              <w:t xml:space="preserve">Replace the old tenant in the list and propagate the change. Verify completion and any other grants before treating access as revoked</w:t>
            </w:r>
          </w:p>
        </w:tc>
      </w:tr>
      <w:tr>
        <w:trPr>
          <w:cantSplit/>
        </w:trPr>
        <w:tc>
          <w:tcPr/>
          <w:p>
            <w:pPr>
              <w:pStyle w:val="Compact"/>
              <w:jc w:val="left"/>
            </w:pPr>
            <w:r>
              <w:t xml:space="preserve">Share data with both tenants</w:t>
            </w:r>
          </w:p>
        </w:tc>
        <w:tc>
          <w:tcPr/>
          <w:p>
            <w:pPr>
              <w:pStyle w:val="Compact"/>
              <w:jc w:val="left"/>
            </w:pPr>
            <w:r>
              <w:t xml:space="preserve">Include both tenants in the list and propagate the change</w:t>
            </w:r>
          </w:p>
        </w:tc>
      </w:tr>
      <w:tr>
        <w:trPr>
          <w:cantSplit/>
        </w:trPr>
        <w:tc>
          <w:tcPr/>
          <w:p>
            <w:pPr>
              <w:pStyle w:val="Compact"/>
              <w:jc w:val="left"/>
            </w:pPr>
            <w:r>
              <w:t xml:space="preserve">Keep historical records with the original tenant</w:t>
            </w:r>
          </w:p>
        </w:tc>
        <w:tc>
          <w:tcPr/>
          <w:p>
            <w:pPr>
              <w:pStyle w:val="Compact"/>
              <w:jc w:val="left"/>
            </w:pPr>
            <w:r>
              <w:t xml:space="preserve">Design a separate record-level assignment workflow; patient-wide propagation does not distinguish historical from future records</w:t>
            </w:r>
          </w:p>
        </w:tc>
      </w:tr>
    </w:tbl>
    <w:p>
      <w:pPr>
        <w:pStyle w:val="BodyText"/>
      </w:pPr>
      <w:r>
        <w:rPr>
          <w:rStyle w:val="VerbatimChar"/>
        </w:rPr>
        <w:t xml:space="preserve">$set-accounts</w:t>
      </w:r>
      <w:r>
        <w:t xml:space="preserve"> </w:t>
      </w:r>
      <w:r>
        <w:t xml:space="preserve">requires project-admin or super-admin authority and checks access to the affected resources. Propagation follows each resource’s own</w:t>
      </w:r>
      <w:r>
        <w:t xml:space="preserve"> </w:t>
      </w:r>
      <w:hyperlink r:id="rId32">
        <w:r>
          <w:rPr>
            <w:rStyle w:val="Hyperlink"/>
          </w:rPr>
          <w:t xml:space="preserve">patient-compartment references</w:t>
        </w:r>
      </w:hyperlink>
      <w:r>
        <w:t xml:space="preserve">, not arbitrary links between resources.</w:t>
      </w:r>
    </w:p>
    <w:p>
      <w:pPr>
        <w:pStyle w:val="BodyText"/>
      </w:pPr>
      <w:r>
        <w:rPr>
          <w:b/>
          <w:bCs/>
        </w:rPr>
        <w:t xml:space="preserve">Reference implementation:</w:t>
      </w:r>
      <w:r>
        <w:t xml:space="preserve"> </w:t>
      </w:r>
      <w:hyperlink r:id="rId33">
        <w:r>
          <w:rPr>
            <w:rStyle w:val="Hyperlink"/>
          </w:rPr>
          <w:t xml:space="preserve">MSO demo</w:t>
        </w:r>
        <w:r>
          <w:rPr>
            <w:rStyle w:val="Hyperlink"/>
          </w:rPr>
          <w:t xml:space="preserve"> </w:t>
        </w:r>
        <w:r>
          <w:rPr>
            <w:rStyle w:val="VerbatimChar"/>
          </w:rPr>
          <w:t xml:space="preserve">enrollment.ts</w:t>
        </w:r>
      </w:hyperlink>
      <w:r>
        <w:t xml:space="preserve">.</w:t>
      </w:r>
    </w:p>
    <w:p>
      <w:pPr>
        <w:pStyle w:val="BodyText"/>
      </w:pPr>
      <w:r>
        <w:rPr>
          <w:b/>
          <w:bCs/>
        </w:rPr>
        <w:t xml:space="preserve">Next:</w:t>
      </w:r>
      <w:r>
        <w:t xml:space="preserve"> </w:t>
      </w:r>
      <w:r>
        <w:t xml:space="preserve">Define each role’s data scope in</w:t>
      </w:r>
      <w:r>
        <w:t xml:space="preserve"> </w:t>
      </w:r>
      <w:hyperlink w:anchor="Xbb0c278d81283a4725515975d5ae02ca213a431">
        <w:r>
          <w:rPr>
            <w:rStyle w:val="Hyperlink"/>
          </w:rPr>
          <w:t xml:space="preserve">Decision 2</w:t>
        </w:r>
      </w:hyperlink>
      <w:r>
        <w:t xml:space="preserve">.</w:t>
      </w:r>
    </w:p>
    <w:bookmarkEnd w:id="34"/>
    <w:bookmarkEnd w:id="35"/>
    <w:bookmarkStart w:id="43" w:name="Xbb0c278d81283a4725515975d5ae02ca213a431"/>
    <w:p>
      <w:pPr>
        <w:pStyle w:val="Heading2"/>
      </w:pPr>
      <w:r>
        <w:t xml:space="preserve">Decision 2: Which data should each role be able to access?</w:t>
      </w:r>
    </w:p>
    <w:p>
      <w:pPr>
        <w:pStyle w:val="FirstParagraph"/>
      </w:pPr>
      <w:r>
        <w:t xml:space="preserve">List your roles, such as physician, RN, MA, front desk, billing, care coordinator, and medical director.</w:t>
      </w:r>
      <w:r>
        <w:t xml:space="preserve"> </w:t>
      </w:r>
      <w:r>
        <w:rPr>
          <w:b/>
          <w:bCs/>
        </w:rPr>
        <w:t xml:space="preserve">If you have multiple tenants, choose the data scope for each role below.</w:t>
      </w:r>
      <w:r>
        <w:t xml:space="preserve"> </w:t>
      </w:r>
      <w:r>
        <w:t xml:space="preserve">Otherwise, continue to</w:t>
      </w:r>
      <w:r>
        <w:t xml:space="preserve"> </w:t>
      </w:r>
      <w:hyperlink w:anchor="X42a041ebbf4cde02e18f5b08766ec1c8ef5d5f3">
        <w:r>
          <w:rPr>
            <w:rStyle w:val="Hyperlink"/>
          </w:rPr>
          <w:t xml:space="preserve">Decision 3</w:t>
        </w:r>
      </w:hyperlink>
      <w:r>
        <w:t xml:space="preserve">.</w:t>
      </w:r>
    </w:p>
    <w:bookmarkStart w:id="36" w:name="option-a-access-to-one-tenant"/>
    <w:p>
      <w:pPr>
        <w:pStyle w:val="Heading3"/>
      </w:pPr>
      <w:r>
        <w:t xml:space="preserve">Option A: Access to one tenant</w:t>
      </w:r>
    </w:p>
    <w:p>
      <w:pPr>
        <w:pStyle w:val="FirstParagraph"/>
      </w:pPr>
      <w:r>
        <w:t xml:space="preserve">Use a single</w:t>
      </w:r>
      <w:r>
        <w:t xml:space="preserve"> </w:t>
      </w:r>
      <w:r>
        <w:rPr>
          <w:rStyle w:val="VerbatimChar"/>
        </w:rPr>
        <w:t xml:space="preserve">ProjectMembership.access</w:t>
      </w:r>
      <w:r>
        <w:t xml:space="preserve"> </w:t>
      </w:r>
      <w:r>
        <w:t xml:space="preserve">entry parameterized with that tenant.</w:t>
      </w:r>
    </w:p>
    <w:bookmarkEnd w:id="36"/>
    <w:bookmarkStart w:id="37" w:name="X313111add5d0b088d84d6352e8797427e39519b"/>
    <w:p>
      <w:pPr>
        <w:pStyle w:val="Heading3"/>
      </w:pPr>
      <w:r>
        <w:t xml:space="preserve">Option B: Combined access to several tenants</w:t>
      </w:r>
    </w:p>
    <w:p>
      <w:pPr>
        <w:pStyle w:val="FirstParagraph"/>
      </w:pPr>
      <w:r>
        <w:t xml:space="preserve">Use one</w:t>
      </w:r>
      <w:r>
        <w:t xml:space="preserve"> </w:t>
      </w:r>
      <w:r>
        <w:rPr>
          <w:rStyle w:val="VerbatimChar"/>
        </w:rPr>
        <w:t xml:space="preserve">access</w:t>
      </w:r>
      <w:r>
        <w:t xml:space="preserve"> </w:t>
      </w:r>
      <w:r>
        <w:t xml:space="preserve">entry per tenant with the same policy.</w:t>
      </w:r>
    </w:p>
    <w:bookmarkEnd w:id="37"/>
    <w:bookmarkStart w:id="38" w:name="Xdbb20e895d625d434a981b2c2fe15ab7fb49663"/>
    <w:p>
      <w:pPr>
        <w:pStyle w:val="Heading3"/>
      </w:pPr>
      <w:r>
        <w:t xml:space="preserve">Option C: Organization-wide or cross-tenant oversight</w:t>
      </w:r>
    </w:p>
    <w:p>
      <w:pPr>
        <w:pStyle w:val="FirstParagraph"/>
      </w:pPr>
      <w:r>
        <w:t xml:space="preserve">Use an unparameterized policy with no</w:t>
      </w:r>
      <w:r>
        <w:t xml:space="preserve"> </w:t>
      </w:r>
      <w:r>
        <w:rPr>
          <w:rStyle w:val="VerbatimChar"/>
        </w:rPr>
        <w:t xml:space="preserve">_compartment</w:t>
      </w:r>
      <w:r>
        <w:t xml:space="preserve"> </w:t>
      </w:r>
      <w:r>
        <w:t xml:space="preserve">filter.</w:t>
      </w:r>
    </w:p>
    <w:bookmarkEnd w:id="38"/>
    <w:bookmarkStart w:id="40" w:name="Xe8cfdb7f0d63a9dd54fd83326352bfde96941a6"/>
    <w:p>
      <w:pPr>
        <w:pStyle w:val="Heading3"/>
      </w:pPr>
      <w:r>
        <w:t xml:space="preserve">Option D: Separate authenticated sessions for each tenant</w:t>
      </w:r>
    </w:p>
    <w:p>
      <w:pPr>
        <w:pStyle w:val="FirstParagraph"/>
      </w:pPr>
      <w:r>
        <w:t xml:space="preserve">Give each session a membership limited to one tenant. Switching context means switching the authenticated login, rather than changing a UI filter. Separate credentials are not always necessary: the</w:t>
      </w:r>
      <w:r>
        <w:t xml:space="preserve"> </w:t>
      </w:r>
      <w:hyperlink r:id="rId39">
        <w:r>
          <w:rPr>
            <w:rStyle w:val="Hyperlink"/>
          </w:rPr>
          <w:t xml:space="preserve">Invite API</w:t>
        </w:r>
      </w:hyperlink>
      <w:r>
        <w:t xml:space="preserve"> </w:t>
      </w:r>
      <w:r>
        <w:t xml:space="preserve">supports creating additional memberships with</w:t>
      </w:r>
      <w:r>
        <w:t xml:space="preserve"> </w:t>
      </w:r>
      <w:r>
        <w:rPr>
          <w:rStyle w:val="VerbatimChar"/>
        </w:rPr>
        <w:t xml:space="preserve">forceNewMembership</w:t>
      </w:r>
      <w:r>
        <w:t xml:space="preserve">.</w:t>
      </w:r>
    </w:p>
    <w:bookmarkEnd w:id="40"/>
    <w:bookmarkStart w:id="42" w:name="how-do-these-policies-combine"/>
    <w:p>
      <w:pPr>
        <w:pStyle w:val="Heading3"/>
      </w:pPr>
      <w:r>
        <w:t xml:space="preserve">How do these policies combine?</w:t>
      </w:r>
    </w:p>
    <w:p>
      <w:pPr>
        <w:pStyle w:val="FirstParagraph"/>
      </w:pPr>
      <w:r>
        <w:rPr>
          <w:b/>
          <w:bCs/>
        </w:rPr>
        <w:t xml:space="preserve">Policy grants are additive, not a way to subtract access.</w:t>
      </w:r>
      <w:r>
        <w:t xml:space="preserve"> </w:t>
      </w:r>
      <w:r>
        <w:t xml:space="preserve">Do not add a restrictive policy to narrow an existing broad grant. For overlapping resource rules, the first matching rule determines field restrictions and write constraints; design and test those rules together.</w:t>
      </w:r>
    </w:p>
    <w:p>
      <w:pPr>
        <w:pStyle w:val="BodyText"/>
      </w:pPr>
      <w:r>
        <w:t xml:space="preserve">Implementation:</w:t>
      </w:r>
      <w:r>
        <w:t xml:space="preserve"> </w:t>
      </w:r>
      <w:hyperlink r:id="rId41">
        <w:r>
          <w:rPr>
            <w:rStyle w:val="Hyperlink"/>
          </w:rPr>
          <w:t xml:space="preserve">Parameterized Policies</w:t>
        </w:r>
      </w:hyperlink>
      <w:r>
        <w:t xml:space="preserve">,</w:t>
      </w:r>
      <w:r>
        <w:t xml:space="preserve"> </w:t>
      </w:r>
      <w:hyperlink r:id="rId39">
        <w:r>
          <w:rPr>
            <w:rStyle w:val="Hyperlink"/>
          </w:rPr>
          <w:t xml:space="preserve">Invite API</w:t>
        </w:r>
      </w:hyperlink>
      <w:r>
        <w:t xml:space="preserve">.</w:t>
      </w:r>
    </w:p>
    <w:p>
      <w:pPr>
        <w:pStyle w:val="BodyText"/>
      </w:pPr>
      <w:r>
        <w:rPr>
          <w:b/>
          <w:bCs/>
        </w:rPr>
        <w:t xml:space="preserve">Next:</w:t>
      </w:r>
      <w:r>
        <w:t xml:space="preserve"> </w:t>
      </w:r>
      <w:r>
        <w:t xml:space="preserve">Choose what each role can do with that data in</w:t>
      </w:r>
      <w:r>
        <w:t xml:space="preserve"> </w:t>
      </w:r>
      <w:hyperlink w:anchor="X42a041ebbf4cde02e18f5b08766ec1c8ef5d5f3">
        <w:r>
          <w:rPr>
            <w:rStyle w:val="Hyperlink"/>
          </w:rPr>
          <w:t xml:space="preserve">Decision 3</w:t>
        </w:r>
      </w:hyperlink>
      <w:r>
        <w:t xml:space="preserve">.</w:t>
      </w:r>
    </w:p>
    <w:bookmarkEnd w:id="42"/>
    <w:bookmarkEnd w:id="43"/>
    <w:bookmarkStart w:id="53" w:name="X42a041ebbf4cde02e18f5b08766ec1c8ef5d5f3"/>
    <w:p>
      <w:pPr>
        <w:pStyle w:val="Heading2"/>
      </w:pPr>
      <w:r>
        <w:t xml:space="preserve">Decision 3: What should each role be allowed to do?</w:t>
      </w:r>
    </w:p>
    <w:bookmarkStart w:id="44" w:name="Xd6bccec9c5078dca0276ee9eb44a2b60650a405"/>
    <w:p>
      <w:pPr>
        <w:pStyle w:val="Heading3"/>
      </w:pPr>
      <w:r>
        <w:t xml:space="preserve">Which resource types and interactions does the role need?</w:t>
      </w:r>
    </w:p>
    <w:p>
      <w:pPr>
        <w:pStyle w:val="FirstParagraph"/>
      </w:pPr>
      <w:r>
        <w:t xml:space="preserve">For each role, list the resource types it needs and choose which interactions it can perform, such as reading, creating, updating, searching, or deleting.</w:t>
      </w:r>
    </w:p>
    <w:tbl>
      <w:tblPr>
        <w:tblStyle w:val="Table"/>
        <w:tblW w:w="9360" w:type="dxa"/>
        <w:tblLayout w:type="fixed"/>
        <w:tblLook w:firstRow="1" w:lastRow="0" w:firstColumn="0" w:lastColumn="0" w:noHBand="0" w:noVBand="0" w:val="0020"/>
      </w:tblPr>
      <w:tblGrid>
        <w:gridCol w:w="4720"/>
        <w:gridCol w:w="4640"/>
      </w:tblGrid>
      <w:tr>
        <w:trPr>
          <w:cantSplit/>
          <w:tblHeader w:val="on"/>
        </w:trPr>
        <w:tc>
          <w:tcPr/>
          <w:p>
            <w:pPr>
              <w:pStyle w:val="Compact"/>
              <w:jc w:val="left"/>
            </w:pPr>
            <w:r>
              <w:t xml:space="preserve">Permission option</w:t>
            </w:r>
          </w:p>
        </w:tc>
        <w:tc>
          <w:tcPr/>
          <w:p>
            <w:pPr>
              <w:pStyle w:val="Compact"/>
              <w:jc w:val="left"/>
            </w:pPr>
            <w:r>
              <w:t xml:space="preserve">Approach</w:t>
            </w:r>
          </w:p>
        </w:tc>
      </w:tr>
      <w:tr>
        <w:trPr>
          <w:cantSplit/>
        </w:trPr>
        <w:tc>
          <w:tcPr/>
          <w:p>
            <w:pPr>
              <w:pStyle w:val="Compact"/>
              <w:jc w:val="left"/>
            </w:pPr>
            <w:r>
              <w:t xml:space="preserve">All supported FHIR interactions</w:t>
            </w:r>
          </w:p>
        </w:tc>
        <w:tc>
          <w:tcPr/>
          <w:p>
            <w:pPr>
              <w:pStyle w:val="Compact"/>
              <w:jc w:val="left"/>
            </w:pPr>
            <w:r>
              <w:t xml:space="preserve">Standard</w:t>
            </w:r>
            <w:r>
              <w:t xml:space="preserve"> </w:t>
            </w:r>
            <w:r>
              <w:rPr>
                <w:rStyle w:val="VerbatimChar"/>
              </w:rPr>
              <w:t xml:space="preserve">resource</w:t>
            </w:r>
            <w:r>
              <w:t xml:space="preserve"> </w:t>
            </w:r>
            <w:r>
              <w:t xml:space="preserve">entry, no</w:t>
            </w:r>
            <w:r>
              <w:t xml:space="preserve"> </w:t>
            </w:r>
            <w:r>
              <w:rPr>
                <w:rStyle w:val="VerbatimChar"/>
              </w:rPr>
              <w:t xml:space="preserve">interaction</w:t>
            </w:r>
            <w:r>
              <w:t xml:space="preserve"> </w:t>
            </w:r>
            <w:r>
              <w:t xml:space="preserve">restriction</w:t>
            </w:r>
          </w:p>
        </w:tc>
      </w:tr>
      <w:tr>
        <w:trPr>
          <w:cantSplit/>
        </w:trPr>
        <w:tc>
          <w:tcPr/>
          <w:p>
            <w:pPr>
              <w:pStyle w:val="Compact"/>
              <w:jc w:val="left"/>
            </w:pPr>
            <w:r>
              <w:t xml:space="preserve">Read-only</w:t>
            </w:r>
          </w:p>
        </w:tc>
        <w:tc>
          <w:tcPr/>
          <w:p>
            <w:pPr>
              <w:pStyle w:val="Compact"/>
              <w:jc w:val="left"/>
            </w:pPr>
            <w:r>
              <w:rPr>
                <w:rStyle w:val="VerbatimChar"/>
              </w:rPr>
              <w:t xml:space="preserve">readonly: true</w:t>
            </w:r>
          </w:p>
        </w:tc>
      </w:tr>
      <w:tr>
        <w:trPr>
          <w:cantSplit/>
        </w:trPr>
        <w:tc>
          <w:tcPr/>
          <w:p>
            <w:pPr>
              <w:pStyle w:val="Compact"/>
              <w:jc w:val="left"/>
            </w:pPr>
            <w:r>
              <w:t xml:space="preserve">Selected interactions, such as create-only or read without search</w:t>
            </w:r>
          </w:p>
        </w:tc>
        <w:tc>
          <w:tcPr/>
          <w:p>
            <w:pPr>
              <w:pStyle w:val="Compact"/>
              <w:jc w:val="left"/>
            </w:pPr>
            <w:r>
              <w:t xml:space="preserve">Explicit</w:t>
            </w:r>
            <w:r>
              <w:t xml:space="preserve"> </w:t>
            </w:r>
            <w:r>
              <w:rPr>
                <w:rStyle w:val="VerbatimChar"/>
              </w:rPr>
              <w:t xml:space="preserve">interaction</w:t>
            </w:r>
            <w:r>
              <w:t xml:space="preserve"> </w:t>
            </w:r>
            <w:r>
              <w:t xml:space="preserve">array</w:t>
            </w:r>
          </w:p>
        </w:tc>
      </w:tr>
    </w:tbl>
    <w:bookmarkEnd w:id="44"/>
    <w:bookmarkStart w:id="51" w:name="X9482277add752bcb7b179a08303520dbff42b6d"/>
    <w:p>
      <w:pPr>
        <w:pStyle w:val="Heading3"/>
      </w:pPr>
      <w:r>
        <w:t xml:space="preserve">Does the role need additional restrictions?</w:t>
      </w:r>
    </w:p>
    <w:p>
      <w:pPr>
        <w:pStyle w:val="FirstParagraph"/>
      </w:pPr>
      <w:r>
        <w:rPr>
          <w:b/>
          <w:bCs/>
        </w:rPr>
        <w:t xml:space="preserve">Apply only the restrictions your roles need.</w:t>
      </w:r>
    </w:p>
    <w:bookmarkStart w:id="45" w:name="should-any-fields-be-hidden-or-read-only"/>
    <w:p>
      <w:pPr>
        <w:pStyle w:val="Heading4"/>
      </w:pPr>
      <w:r>
        <w:t xml:space="preserve">Should any fields be hidden or read-only?</w:t>
      </w:r>
    </w:p>
    <w:p>
      <w:pPr>
        <w:pStyle w:val="FirstParagraph"/>
      </w:pPr>
      <w:r>
        <w:t xml:space="preserve">Use field-level restrictions for specific elements, such as a Patient’s address.</w:t>
      </w:r>
    </w:p>
    <w:tbl>
      <w:tblPr>
        <w:tblStyle w:val="Table"/>
        <w:tblW w:w="9360" w:type="dxa"/>
        <w:tblLayout w:type="fixed"/>
        <w:tblLook w:firstRow="1" w:lastRow="0" w:firstColumn="0" w:lastColumn="0" w:noHBand="0" w:noVBand="0" w:val="0020"/>
      </w:tblPr>
      <w:tblGrid>
        <w:gridCol w:w="4494"/>
        <w:gridCol w:w="4866"/>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Readable but not writable</w:t>
            </w:r>
          </w:p>
        </w:tc>
        <w:tc>
          <w:tcPr/>
          <w:p>
            <w:pPr>
              <w:pStyle w:val="Compact"/>
              <w:jc w:val="left"/>
            </w:pPr>
            <w:r>
              <w:rPr>
                <w:rStyle w:val="VerbatimChar"/>
              </w:rPr>
              <w:t xml:space="preserve">readonlyFields</w:t>
            </w:r>
          </w:p>
        </w:tc>
      </w:tr>
      <w:tr>
        <w:trPr>
          <w:cantSplit/>
        </w:trPr>
        <w:tc>
          <w:tcPr/>
          <w:p>
            <w:pPr>
              <w:pStyle w:val="Compact"/>
              <w:jc w:val="left"/>
            </w:pPr>
            <w:r>
              <w:t xml:space="preserve">Hidden from returned resources</w:t>
            </w:r>
          </w:p>
        </w:tc>
        <w:tc>
          <w:tcPr/>
          <w:p>
            <w:pPr>
              <w:pStyle w:val="Compact"/>
              <w:jc w:val="left"/>
            </w:pPr>
            <w:r>
              <w:rPr>
                <w:rStyle w:val="VerbatimChar"/>
              </w:rPr>
              <w:t xml:space="preserve">hiddenFields</w:t>
            </w:r>
            <w:r>
              <w:t xml:space="preserve">; these restrictions also affect writes, not just returned output</w:t>
            </w:r>
          </w:p>
        </w:tc>
      </w:tr>
      <w:tr>
        <w:trPr>
          <w:cantSplit/>
        </w:trPr>
        <w:tc>
          <w:tcPr/>
          <w:p>
            <w:pPr>
              <w:pStyle w:val="Compact"/>
              <w:jc w:val="left"/>
            </w:pPr>
            <w:r>
              <w:t xml:space="preserve">No access to a clinical resource type</w:t>
            </w:r>
          </w:p>
        </w:tc>
        <w:tc>
          <w:tcPr/>
          <w:p>
            <w:pPr>
              <w:pStyle w:val="Compact"/>
              <w:jc w:val="left"/>
            </w:pPr>
            <w:r>
              <w:t xml:space="preserve">Omit that type from the role’s grants; ensure no broader rule grants access</w:t>
            </w:r>
          </w:p>
        </w:tc>
      </w:tr>
    </w:tbl>
    <w:p>
      <w:pPr>
        <w:pStyle w:val="BodyText"/>
      </w:pPr>
      <w:r>
        <w:t xml:space="preserve">Field masking is not a substitute for denying access to a resource. For presentation-only changes, hide fields in the UI.</w:t>
      </w:r>
    </w:p>
    <w:bookmarkEnd w:id="45"/>
    <w:bookmarkStart w:id="46" w:name="X1af1c1e706322881b54d3a8e972e9679c2aa49f"/>
    <w:p>
      <w:pPr>
        <w:pStyle w:val="Heading4"/>
      </w:pPr>
      <w:r>
        <w:t xml:space="preserve">Should writes enforce required fields or state transitions?</w:t>
      </w:r>
    </w:p>
    <w:p>
      <w:pPr>
        <w:pStyle w:val="FirstParagraph"/>
      </w:pPr>
      <w:r>
        <w:t xml:space="preserve">Use write constraints to enforce these rules at the policy layer:</w:t>
      </w:r>
    </w:p>
    <w:tbl>
      <w:tblPr>
        <w:tblStyle w:val="Table"/>
        <w:tblW w:w="9360" w:type="dxa"/>
        <w:tblLayout w:type="fixed"/>
        <w:tblLook w:firstRow="1" w:lastRow="0" w:firstColumn="0" w:lastColumn="0" w:noHBand="0" w:noVBand="0" w:val="0020"/>
      </w:tblPr>
      <w:tblGrid>
        <w:gridCol w:w="4397"/>
        <w:gridCol w:w="4963"/>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Prevent a field changing after a terminal state</w:t>
            </w:r>
          </w:p>
        </w:tc>
        <w:tc>
          <w:tcPr/>
          <w:p>
            <w:pPr>
              <w:pStyle w:val="Compact"/>
              <w:jc w:val="left"/>
            </w:pPr>
            <w:r>
              <w:t xml:space="preserve">Use</w:t>
            </w:r>
            <w:r>
              <w:t xml:space="preserve"> </w:t>
            </w:r>
            <w:r>
              <w:rPr>
                <w:rStyle w:val="VerbatimChar"/>
              </w:rPr>
              <w:t xml:space="preserve">writeConstraint</w:t>
            </w:r>
            <w:r>
              <w:t xml:space="preserve"> </w:t>
            </w:r>
            <w:r>
              <w:t xml:space="preserve">to check the prior state and compare the field before and after</w:t>
            </w:r>
          </w:p>
        </w:tc>
      </w:tr>
      <w:tr>
        <w:trPr>
          <w:cantSplit/>
        </w:trPr>
        <w:tc>
          <w:tcPr/>
          <w:p>
            <w:pPr>
              <w:pStyle w:val="Compact"/>
              <w:jc w:val="left"/>
            </w:pPr>
            <w:r>
              <w:t xml:space="preserve">Require a field when entering a state</w:t>
            </w:r>
          </w:p>
        </w:tc>
        <w:tc>
          <w:tcPr/>
          <w:p>
            <w:pPr>
              <w:pStyle w:val="Compact"/>
              <w:jc w:val="left"/>
            </w:pPr>
            <w:r>
              <w:t xml:space="preserve">Check</w:t>
            </w:r>
            <w:r>
              <w:t xml:space="preserve"> </w:t>
            </w:r>
            <w:r>
              <w:rPr>
                <w:rStyle w:val="VerbatimChar"/>
              </w:rPr>
              <w:t xml:space="preserve">%after</w:t>
            </w:r>
            <w:r>
              <w:t xml:space="preserve"> </w:t>
            </w:r>
            <w:r>
              <w:t xml:space="preserve">and field presence in a</w:t>
            </w:r>
            <w:r>
              <w:t xml:space="preserve"> </w:t>
            </w:r>
            <w:r>
              <w:rPr>
                <w:rStyle w:val="VerbatimChar"/>
              </w:rPr>
              <w:t xml:space="preserve">writeConstraint</w:t>
            </w:r>
          </w:p>
        </w:tc>
      </w:tr>
      <w:tr>
        <w:trPr>
          <w:cantSplit/>
        </w:trPr>
        <w:tc>
          <w:tcPr/>
          <w:p>
            <w:pPr>
              <w:pStyle w:val="Compact"/>
              <w:jc w:val="left"/>
            </w:pPr>
            <w:r>
              <w:t xml:space="preserve">Apply a constraint only to updates</w:t>
            </w:r>
          </w:p>
        </w:tc>
        <w:tc>
          <w:tcPr/>
          <w:p>
            <w:pPr>
              <w:pStyle w:val="Compact"/>
              <w:jc w:val="left"/>
            </w:pPr>
            <w:r>
              <w:t xml:space="preserve">Prefix with</w:t>
            </w:r>
            <w:r>
              <w:t xml:space="preserve"> </w:t>
            </w:r>
            <w:r>
              <w:rPr>
                <w:rStyle w:val="VerbatimChar"/>
              </w:rPr>
              <w:t xml:space="preserve">%before.exists() implies ...</w:t>
            </w:r>
          </w:p>
        </w:tc>
      </w:tr>
      <w:tr>
        <w:trPr>
          <w:cantSplit/>
        </w:trPr>
        <w:tc>
          <w:tcPr/>
          <w:p>
            <w:pPr>
              <w:pStyle w:val="Compact"/>
              <w:jc w:val="left"/>
            </w:pPr>
            <w:r>
              <w:t xml:space="preserve">Apply a constraint only to creates</w:t>
            </w:r>
          </w:p>
        </w:tc>
        <w:tc>
          <w:tcPr/>
          <w:p>
            <w:pPr>
              <w:pStyle w:val="Compact"/>
              <w:jc w:val="left"/>
            </w:pPr>
            <w:r>
              <w:t xml:space="preserve">Prefix with</w:t>
            </w:r>
            <w:r>
              <w:t xml:space="preserve"> </w:t>
            </w:r>
            <w:r>
              <w:rPr>
                <w:rStyle w:val="VerbatimChar"/>
              </w:rPr>
              <w:t xml:space="preserve">%before.exists().not() implies ...</w:t>
            </w:r>
          </w:p>
        </w:tc>
      </w:tr>
    </w:tbl>
    <w:p>
      <w:pPr>
        <w:pStyle w:val="BodyText"/>
      </w:pPr>
      <w:r>
        <w:t xml:space="preserve">These prefixes control when a constraint applies; use</w:t>
      </w:r>
      <w:r>
        <w:t xml:space="preserve"> </w:t>
      </w:r>
      <w:r>
        <w:rPr>
          <w:rStyle w:val="VerbatimChar"/>
        </w:rPr>
        <w:t xml:space="preserve">interaction</w:t>
      </w:r>
      <w:r>
        <w:t xml:space="preserve"> </w:t>
      </w:r>
      <w:r>
        <w:t xml:space="preserve">to allow only creates or updates. Keep FHIRPath simple. If a Bot enforces complex rules, use a controlled invocation path; a Subscription-triggered Bot runs after the write and cannot reject it.</w:t>
      </w:r>
    </w:p>
    <w:bookmarkEnd w:id="46"/>
    <w:bookmarkStart w:id="50" w:name="X70422c87fcd81384a85dc281c011f062872145d"/>
    <w:p>
      <w:pPr>
        <w:pStyle w:val="Heading4"/>
      </w:pPr>
      <w:r>
        <w:t xml:space="preserve">Should access depend on resource attributes?</w:t>
      </w:r>
    </w:p>
    <w:p>
      <w:pPr>
        <w:pStyle w:val="FirstParagraph"/>
      </w:pPr>
      <w:r>
        <w:t xml:space="preserve">Use criteria-based filtering for attributes such as geography, code, or status:</w:t>
      </w:r>
    </w:p>
    <w:tbl>
      <w:tblPr>
        <w:tblStyle w:val="Table"/>
        <w:tblW w:w="9360" w:type="dxa"/>
        <w:tblLayout w:type="fixed"/>
        <w:tblLook w:firstRow="1" w:lastRow="0" w:firstColumn="0" w:lastColumn="0" w:noHBand="0" w:noVBand="0" w:val="0020"/>
      </w:tblPr>
      <w:tblGrid>
        <w:gridCol w:w="3740"/>
        <w:gridCol w:w="5620"/>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Patient address filtering</w:t>
            </w:r>
          </w:p>
        </w:tc>
        <w:tc>
          <w:tcPr/>
          <w:p>
            <w:pPr>
              <w:pStyle w:val="Compact"/>
              <w:jc w:val="left"/>
            </w:pPr>
            <w:r>
              <w:rPr>
                <w:rStyle w:val="VerbatimChar"/>
              </w:rPr>
              <w:t xml:space="preserve">Patient?address-state=%state</w:t>
            </w:r>
            <w:r>
              <w:t xml:space="preserve">, parameterized</w:t>
            </w:r>
          </w:p>
        </w:tc>
      </w:tr>
      <w:tr>
        <w:trPr>
          <w:cantSplit/>
        </w:trPr>
        <w:tc>
          <w:tcPr/>
          <w:p>
            <w:pPr>
              <w:pStyle w:val="Compact"/>
              <w:jc w:val="left"/>
            </w:pPr>
            <w:r>
              <w:t xml:space="preserve">Several allowed states</w:t>
            </w:r>
          </w:p>
        </w:tc>
        <w:tc>
          <w:tcPr/>
          <w:p>
            <w:pPr>
              <w:pStyle w:val="Compact"/>
              <w:jc w:val="left"/>
            </w:pPr>
            <w:r>
              <w:t xml:space="preserve">One</w:t>
            </w:r>
            <w:r>
              <w:t xml:space="preserve"> </w:t>
            </w:r>
            <w:r>
              <w:rPr>
                <w:rStyle w:val="VerbatimChar"/>
              </w:rPr>
              <w:t xml:space="preserve">access</w:t>
            </w:r>
            <w:r>
              <w:t xml:space="preserve"> </w:t>
            </w:r>
            <w:r>
              <w:t xml:space="preserve">entry per state</w:t>
            </w:r>
          </w:p>
        </w:tc>
      </w:tr>
      <w:tr>
        <w:trPr>
          <w:cantSplit/>
        </w:trPr>
        <w:tc>
          <w:tcPr/>
          <w:p>
            <w:pPr>
              <w:pStyle w:val="Compact"/>
              <w:jc w:val="left"/>
            </w:pPr>
            <w:r>
              <w:t xml:space="preserve">Specialty or status filter</w:t>
            </w:r>
          </w:p>
        </w:tc>
        <w:tc>
          <w:tcPr/>
          <w:p>
            <w:pPr>
              <w:pStyle w:val="Compact"/>
              <w:jc w:val="left"/>
            </w:pPr>
            <w:r>
              <w:rPr>
                <w:rStyle w:val="VerbatimChar"/>
              </w:rPr>
              <w:t xml:space="preserve">criteria</w:t>
            </w:r>
            <w:r>
              <w:t xml:space="preserve"> </w:t>
            </w:r>
            <w:r>
              <w:t xml:space="preserve">with code/status filter</w:t>
            </w:r>
          </w:p>
        </w:tc>
      </w:tr>
      <w:tr>
        <w:trPr>
          <w:cantSplit/>
        </w:trPr>
        <w:tc>
          <w:tcPr/>
          <w:p>
            <w:pPr>
              <w:pStyle w:val="Compact"/>
              <w:jc w:val="left"/>
            </w:pPr>
            <w:r>
              <w:t xml:space="preserve">Criteria + tenant</w:t>
            </w:r>
          </w:p>
        </w:tc>
        <w:tc>
          <w:tcPr/>
          <w:p>
            <w:pPr>
              <w:pStyle w:val="Compact"/>
              <w:jc w:val="left"/>
            </w:pPr>
            <w:r>
              <w:t xml:space="preserve">Single</w:t>
            </w:r>
            <w:r>
              <w:t xml:space="preserve"> </w:t>
            </w:r>
            <w:r>
              <w:rPr>
                <w:rStyle w:val="VerbatimChar"/>
              </w:rPr>
              <w:t xml:space="preserve">criteria</w:t>
            </w:r>
            <w:r>
              <w:t xml:space="preserve"> </w:t>
            </w:r>
            <w:r>
              <w:t xml:space="preserve">string combining both</w:t>
            </w:r>
          </w:p>
        </w:tc>
      </w:tr>
    </w:tbl>
    <w:p>
      <w:pPr>
        <w:pStyle w:val="BodyText"/>
      </w:pPr>
      <w:r>
        <w:t xml:space="preserve">Address filtering restricts records; it does not validate practitioner licensure.</w:t>
      </w:r>
      <w:r>
        <w:t xml:space="preserve"> </w:t>
      </w:r>
      <w:r>
        <w:rPr>
          <w:rStyle w:val="VerbatimChar"/>
        </w:rPr>
        <w:t xml:space="preserve">criteria</w:t>
      </w:r>
      <w:r>
        <w:t xml:space="preserve"> </w:t>
      </w:r>
      <w:r>
        <w:t xml:space="preserve">supports a subset of FHIR search, with</w:t>
      </w:r>
      <w:r>
        <w:t xml:space="preserve"> </w:t>
      </w:r>
      <w:r>
        <w:rPr>
          <w:rStyle w:val="VerbatimChar"/>
        </w:rPr>
        <w:t xml:space="preserve">:not</w:t>
      </w:r>
      <w:r>
        <w:t xml:space="preserve"> </w:t>
      </w:r>
      <w:r>
        <w:t xml:space="preserve">and</w:t>
      </w:r>
      <w:r>
        <w:t xml:space="preserve"> </w:t>
      </w:r>
      <w:r>
        <w:rPr>
          <w:rStyle w:val="VerbatimChar"/>
        </w:rPr>
        <w:t xml:space="preserve">:missing</w:t>
      </w:r>
      <w:r>
        <w:t xml:space="preserve"> </w:t>
      </w:r>
      <w:r>
        <w:t xml:space="preserve">modifiers and no chained searches. Denormalize or assign tenant references through an enrollment workflow where needed.</w:t>
      </w:r>
    </w:p>
    <w:p>
      <w:pPr>
        <w:pStyle w:val="BodyText"/>
      </w:pPr>
      <w:r>
        <w:rPr>
          <w:b/>
          <w:bCs/>
        </w:rPr>
        <w:t xml:space="preserve">Files:</w:t>
      </w:r>
      <w:r>
        <w:t xml:space="preserve"> </w:t>
      </w:r>
      <w:r>
        <w:rPr>
          <w:rStyle w:val="VerbatimChar"/>
        </w:rPr>
        <w:t xml:space="preserve">Binary</w:t>
      </w:r>
      <w:r>
        <w:t xml:space="preserve"> </w:t>
      </w:r>
      <w:r>
        <w:t xml:space="preserve">resources do not support policy</w:t>
      </w:r>
      <w:r>
        <w:t xml:space="preserve"> </w:t>
      </w:r>
      <w:r>
        <w:rPr>
          <w:rStyle w:val="VerbatimChar"/>
        </w:rPr>
        <w:t xml:space="preserve">criteria</w:t>
      </w:r>
      <w:r>
        <w:t xml:space="preserve">; set an appropriate</w:t>
      </w:r>
      <w:r>
        <w:t xml:space="preserve"> </w:t>
      </w:r>
      <w:r>
        <w:rPr>
          <w:rStyle w:val="VerbatimChar"/>
        </w:rPr>
        <w:t xml:space="preserve">securityContext</w:t>
      </w:r>
      <w:r>
        <w:t xml:space="preserve">. See</w:t>
      </w:r>
      <w:r>
        <w:t xml:space="preserve"> </w:t>
      </w:r>
      <w:hyperlink r:id="rId47">
        <w:r>
          <w:rPr>
            <w:rStyle w:val="Hyperlink"/>
          </w:rPr>
          <w:t xml:space="preserve">Binary Security Context</w:t>
        </w:r>
      </w:hyperlink>
      <w:r>
        <w:t xml:space="preserve">.</w:t>
      </w:r>
    </w:p>
    <w:p>
      <w:pPr>
        <w:pStyle w:val="BodyText"/>
      </w:pPr>
      <w:r>
        <w:t xml:space="preserve">Implementation:</w:t>
      </w:r>
      <w:r>
        <w:t xml:space="preserve"> </w:t>
      </w:r>
      <w:hyperlink r:id="rId48">
        <w:r>
          <w:rPr>
            <w:rStyle w:val="Hyperlink"/>
          </w:rPr>
          <w:t xml:space="preserve">Access Policies</w:t>
        </w:r>
      </w:hyperlink>
      <w:r>
        <w:t xml:space="preserve">,</w:t>
      </w:r>
      <w:r>
        <w:t xml:space="preserve"> </w:t>
      </w:r>
      <w:hyperlink r:id="rId49">
        <w:r>
          <w:rPr>
            <w:rStyle w:val="Hyperlink"/>
          </w:rPr>
          <w:t xml:space="preserve">Licensure and Scheduling</w:t>
        </w:r>
      </w:hyperlink>
      <w:r>
        <w:t xml:space="preserve">.</w:t>
      </w:r>
    </w:p>
    <w:bookmarkEnd w:id="50"/>
    <w:bookmarkEnd w:id="51"/>
    <w:bookmarkStart w:id="52" w:name="should-the-ui-change-based-on-the-role"/>
    <w:p>
      <w:pPr>
        <w:pStyle w:val="Heading3"/>
      </w:pPr>
      <w:r>
        <w:t xml:space="preserve">Should the UI change based on the role?</w:t>
      </w:r>
    </w:p>
    <w:p>
      <w:pPr>
        <w:pStyle w:val="FirstParagraph"/>
      </w:pPr>
      <w:r>
        <w:rPr>
          <w:b/>
          <w:bCs/>
        </w:rPr>
        <w:t xml:space="preserve">If your frontend shows or hides UI based on the user’s role.</w:t>
      </w:r>
    </w:p>
    <w:tbl>
      <w:tblPr>
        <w:tblStyle w:val="Table"/>
        <w:tblW w:w="9360" w:type="dxa"/>
        <w:tblLayout w:type="fixed"/>
        <w:tblLook w:firstRow="1" w:lastRow="0" w:firstColumn="0" w:lastColumn="0" w:noHBand="0" w:noVBand="0" w:val="0020"/>
      </w:tblPr>
      <w:tblGrid>
        <w:gridCol w:w="3653"/>
        <w:gridCol w:w="5707"/>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UI changes based on role</w:t>
            </w:r>
          </w:p>
        </w:tc>
        <w:tc>
          <w:tcPr/>
          <w:p>
            <w:pPr>
              <w:pStyle w:val="Compact"/>
              <w:jc w:val="left"/>
            </w:pPr>
            <w:r>
              <w:t xml:space="preserve">Read the effective policy’s</w:t>
            </w:r>
            <w:r>
              <w:t xml:space="preserve"> </w:t>
            </w:r>
            <w:r>
              <w:rPr>
                <w:rStyle w:val="VerbatimChar"/>
              </w:rPr>
              <w:t xml:space="preserve">basedOn</w:t>
            </w:r>
            <w:r>
              <w:t xml:space="preserve"> </w:t>
            </w:r>
            <w:r>
              <w:t xml:space="preserve">references from</w:t>
            </w:r>
            <w:r>
              <w:t xml:space="preserve"> </w:t>
            </w:r>
            <w:r>
              <w:rPr>
                <w:rStyle w:val="VerbatimChar"/>
              </w:rPr>
              <w:t xml:space="preserve">/auth/me</w:t>
            </w:r>
          </w:p>
        </w:tc>
      </w:tr>
    </w:tbl>
    <w:p>
      <w:pPr>
        <w:pStyle w:val="BodyText"/>
      </w:pPr>
      <w:r>
        <w:rPr>
          <w:rStyle w:val="VerbatimChar"/>
        </w:rPr>
        <w:t xml:space="preserve">basedOn</w:t>
      </w:r>
      <w:r>
        <w:t xml:space="preserve"> </w:t>
      </w:r>
      <w:r>
        <w:t xml:space="preserve">identifies the policies used to build the effective policy; it is not a policy-inheritance setting. Use it to inform the UI, while continuing to enforce access at the API.</w:t>
      </w:r>
    </w:p>
    <w:p>
      <w:pPr>
        <w:pStyle w:val="BodyText"/>
      </w:pPr>
      <w:r>
        <w:rPr>
          <w:b/>
          <w:bCs/>
        </w:rPr>
        <w:t xml:space="preserve">Next:</w:t>
      </w:r>
      <w:r>
        <w:t xml:space="preserve"> </w:t>
      </w:r>
      <w:r>
        <w:t xml:space="preserve">Assign administrative responsibilities in</w:t>
      </w:r>
      <w:r>
        <w:t xml:space="preserve"> </w:t>
      </w:r>
      <w:hyperlink w:anchor="Xdcf65e12ff258a894869928054da5a9ce38bb61">
        <w:r>
          <w:rPr>
            <w:rStyle w:val="Hyperlink"/>
          </w:rPr>
          <w:t xml:space="preserve">Decision 4</w:t>
        </w:r>
      </w:hyperlink>
      <w:r>
        <w:t xml:space="preserve">.</w:t>
      </w:r>
    </w:p>
    <w:bookmarkEnd w:id="52"/>
    <w:bookmarkEnd w:id="53"/>
    <w:bookmarkStart w:id="57" w:name="Xdcf65e12ff258a894869928054da5a9ce38bb61"/>
    <w:p>
      <w:pPr>
        <w:pStyle w:val="Heading2"/>
      </w:pPr>
      <w:r>
        <w:t xml:space="preserve">Decision 4: Who will administer users and configuration?</w:t>
      </w:r>
    </w:p>
    <w:p>
      <w:pPr>
        <w:pStyle w:val="FirstParagraph"/>
      </w:pPr>
      <w:r>
        <w:t xml:space="preserve">Decide who manages users and memberships, who manages Bots, ClientApplications, and AccessPolicies, and whether those administrators should see clinical data. Identify any server-level needs, such as project creation or overwriting protected fields.</w:t>
      </w:r>
    </w:p>
    <w:tbl>
      <w:tblPr>
        <w:tblStyle w:val="Table"/>
        <w:tblW w:w="9360" w:type="dxa"/>
        <w:tblLayout w:type="fixed"/>
        <w:tblLook w:firstRow="1" w:lastRow="0" w:firstColumn="0" w:lastColumn="0" w:noHBand="0" w:noVBand="0" w:val="0020"/>
      </w:tblPr>
      <w:tblGrid>
        <w:gridCol w:w="4462"/>
        <w:gridCol w:w="4898"/>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Trusted project administrator</w:t>
            </w:r>
          </w:p>
        </w:tc>
        <w:tc>
          <w:tcPr/>
          <w:p>
            <w:pPr>
              <w:pStyle w:val="Compact"/>
              <w:jc w:val="left"/>
            </w:pPr>
            <w:r>
              <w:rPr>
                <w:rStyle w:val="VerbatimChar"/>
              </w:rPr>
              <w:t xml:space="preserve">ProjectMembership.admin</w:t>
            </w:r>
            <w:r>
              <w:t xml:space="preserve"> </w:t>
            </w:r>
            <w:r>
              <w:t xml:space="preserve">grants project administration capabilities</w:t>
            </w:r>
          </w:p>
        </w:tc>
      </w:tr>
      <w:tr>
        <w:trPr>
          <w:cantSplit/>
        </w:trPr>
        <w:tc>
          <w:tcPr/>
          <w:p>
            <w:pPr>
              <w:pStyle w:val="Compact"/>
              <w:jc w:val="left"/>
            </w:pPr>
            <w:r>
              <w:t xml:space="preserve">Admin with limited routine clinical access</w:t>
            </w:r>
          </w:p>
        </w:tc>
        <w:tc>
          <w:tcPr/>
          <w:p>
            <w:pPr>
              <w:pStyle w:val="Compact"/>
              <w:jc w:val="left"/>
            </w:pPr>
            <w:r>
              <w:t xml:space="preserve">Assign an explicit custom AccessPolicy limiting clinical resources</w:t>
            </w:r>
          </w:p>
        </w:tc>
      </w:tr>
      <w:tr>
        <w:trPr>
          <w:cantSplit/>
        </w:trPr>
        <w:tc>
          <w:tcPr/>
          <w:p>
            <w:pPr>
              <w:pStyle w:val="Compact"/>
              <w:jc w:val="left"/>
            </w:pPr>
            <w:r>
              <w:t xml:space="preserve">A role that must not access clinical content</w:t>
            </w:r>
          </w:p>
        </w:tc>
        <w:tc>
          <w:tcPr/>
          <w:p>
            <w:pPr>
              <w:pStyle w:val="Compact"/>
              <w:jc w:val="left"/>
            </w:pPr>
            <w:r>
              <w:t xml:space="preserve">Use a non-admin role with narrowly scoped permissions; do not rely on</w:t>
            </w:r>
            <w:r>
              <w:t xml:space="preserve"> </w:t>
            </w:r>
            <w:r>
              <w:rPr>
                <w:rStyle w:val="VerbatimChar"/>
              </w:rPr>
              <w:t xml:space="preserve">hiddenFields</w:t>
            </w:r>
            <w:r>
              <w:t xml:space="preserve"> </w:t>
            </w:r>
            <w:r>
              <w:t xml:space="preserve">or an admin’s clinical policy as a hard boundary</w:t>
            </w:r>
          </w:p>
        </w:tc>
      </w:tr>
      <w:tr>
        <w:trPr>
          <w:cantSplit/>
        </w:trPr>
        <w:tc>
          <w:tcPr/>
          <w:p>
            <w:pPr>
              <w:pStyle w:val="Compact"/>
              <w:jc w:val="left"/>
            </w:pPr>
            <w:r>
              <w:t xml:space="preserve">Project creation or protected server-level changes</w:t>
            </w:r>
          </w:p>
        </w:tc>
        <w:tc>
          <w:tcPr/>
          <w:p>
            <w:pPr>
              <w:pStyle w:val="Compact"/>
              <w:jc w:val="left"/>
            </w:pPr>
            <w:r>
              <w:t xml:space="preserve">Super-admin operations; for hosted Medplum, coordinate with Medplum</w:t>
            </w:r>
          </w:p>
        </w:tc>
      </w:tr>
      <w:tr>
        <w:trPr>
          <w:cantSplit/>
        </w:trPr>
        <w:tc>
          <w:tcPr/>
          <w:p>
            <w:pPr>
              <w:pStyle w:val="Compact"/>
              <w:jc w:val="left"/>
            </w:pPr>
            <w:r>
              <w:t xml:space="preserve">Separate user-management and technical duties</w:t>
            </w:r>
          </w:p>
        </w:tc>
        <w:tc>
          <w:tcPr/>
          <w:p>
            <w:pPr>
              <w:pStyle w:val="Compact"/>
              <w:jc w:val="left"/>
            </w:pPr>
            <w:r>
              <w:t xml:space="preserve">Define the permitted operations and use controlled backend workflows where needed; stacking policies does not subdivide the admin flag</w:t>
            </w:r>
          </w:p>
        </w:tc>
      </w:tr>
    </w:tbl>
    <w:p>
      <w:pPr>
        <w:pStyle w:val="BodyText"/>
      </w:pPr>
      <w:r>
        <w:rPr>
          <w:b/>
          <w:bCs/>
        </w:rPr>
        <w:t xml:space="preserve">Project admins are trusted administrators.</w:t>
      </w:r>
      <w:r>
        <w:t xml:space="preserve"> </w:t>
      </w:r>
      <w:r>
        <w:t xml:space="preserve">They can manage access policies and memberships, and act on behalf of users. A clinical policy limits their routine access but does not prevent them from changing grants. The admin flag does not bypass clinical policies; omitting a policy can still grant broad access.</w:t>
      </w:r>
    </w:p>
    <w:p>
      <w:pPr>
        <w:pStyle w:val="BodyText"/>
      </w:pPr>
      <w:r>
        <w:rPr>
          <w:b/>
          <w:bCs/>
        </w:rPr>
        <w:t xml:space="preserve">Default or custom policy?</w:t>
      </w:r>
      <w:r>
        <w:t xml:space="preserve"> </w:t>
      </w:r>
      <w:r>
        <w:t xml:space="preserve">The built-in Admin default grants broad read/write access. When admin status changes, Medplum swaps the recognized Practitioner/Admin default to the matching default, if configured. Custom policy assignments are unchanged by this swap; the admin flag still changes administrative capabilities. Use an explicit custom policy when the defaults are too broad.</w:t>
      </w:r>
    </w:p>
    <w:p>
      <w:pPr>
        <w:pStyle w:val="BodyText"/>
      </w:pPr>
      <w:r>
        <w:t xml:space="preserve">Implementation:</w:t>
      </w:r>
      <w:r>
        <w:t xml:space="preserve"> </w:t>
      </w:r>
      <w:hyperlink r:id="rId54">
        <w:r>
          <w:rPr>
            <w:rStyle w:val="Hyperlink"/>
          </w:rPr>
          <w:t xml:space="preserve">Admin Users</w:t>
        </w:r>
      </w:hyperlink>
      <w:r>
        <w:t xml:space="preserve">,</w:t>
      </w:r>
      <w:r>
        <w:t xml:space="preserve"> </w:t>
      </w:r>
      <w:hyperlink r:id="rId55">
        <w:r>
          <w:rPr>
            <w:rStyle w:val="Hyperlink"/>
          </w:rPr>
          <w:t xml:space="preserve">Default Access Policies</w:t>
        </w:r>
      </w:hyperlink>
      <w:r>
        <w:t xml:space="preserve">,</w:t>
      </w:r>
      <w:r>
        <w:t xml:space="preserve"> </w:t>
      </w:r>
      <w:hyperlink r:id="rId56">
        <w:r>
          <w:rPr>
            <w:rStyle w:val="Hyperlink"/>
          </w:rPr>
          <w:t xml:space="preserve">On-Behalf-Of</w:t>
        </w:r>
      </w:hyperlink>
      <w:r>
        <w:t xml:space="preserve">.</w:t>
      </w:r>
    </w:p>
    <w:p>
      <w:pPr>
        <w:pStyle w:val="BodyText"/>
      </w:pPr>
      <w:r>
        <w:rPr>
          <w:b/>
          <w:bCs/>
        </w:rPr>
        <w:t xml:space="preserve">Next:</w:t>
      </w:r>
      <w:r>
        <w:t xml:space="preserve"> </w:t>
      </w:r>
      <w:r>
        <w:t xml:space="preserve">Review the additional decisions below that apply to your application.</w:t>
      </w:r>
    </w:p>
    <w:bookmarkEnd w:id="57"/>
    <w:bookmarkStart w:id="67" w:name="additional-decisions-if-applicable"/>
    <w:p>
      <w:pPr>
        <w:pStyle w:val="Heading2"/>
      </w:pPr>
      <w:r>
        <w:t xml:space="preserve">Additional decisions, if applicable</w:t>
      </w:r>
    </w:p>
    <w:bookmarkStart w:id="62" w:name="X1b3a5e1144b0225df3807e086f4dfd1a93e3c1d"/>
    <w:p>
      <w:pPr>
        <w:pStyle w:val="Heading3"/>
      </w:pPr>
      <w:r>
        <w:t xml:space="preserve">How will patients and caregivers get access?</w:t>
      </w:r>
    </w:p>
    <w:p>
      <w:pPr>
        <w:pStyle w:val="FirstParagraph"/>
      </w:pPr>
      <w:r>
        <w:rPr>
          <w:b/>
          <w:bCs/>
        </w:rPr>
        <w:t xml:space="preserve">For applications with a patient portal.</w:t>
      </w:r>
    </w:p>
    <w:p>
      <w:pPr>
        <w:pStyle w:val="BodyText"/>
      </w:pPr>
      <w:r>
        <w:t xml:space="preserve">Choose how patients register, whether caregivers or proxies need access (such as parents, adult children, or guardians), and how those relationships are established and revoked.</w:t>
      </w:r>
    </w:p>
    <w:bookmarkStart w:id="58" w:name="how-will-patients-register"/>
    <w:p>
      <w:pPr>
        <w:pStyle w:val="Heading4"/>
      </w:pPr>
      <w:r>
        <w:t xml:space="preserve">How will patients register?</w:t>
      </w:r>
    </w:p>
    <w:tbl>
      <w:tblPr>
        <w:tblStyle w:val="Table"/>
        <w:tblW w:w="9360" w:type="dxa"/>
        <w:tblLayout w:type="fixed"/>
        <w:tblLook w:firstRow="1" w:lastRow="0" w:firstColumn="0" w:lastColumn="0" w:noHBand="0" w:noVBand="0" w:val="0020"/>
      </w:tblPr>
      <w:tblGrid>
        <w:gridCol w:w="3474"/>
        <w:gridCol w:w="5886"/>
      </w:tblGrid>
      <w:tr>
        <w:trPr>
          <w:cantSplit/>
          <w:tblHeader w:val="on"/>
        </w:trPr>
        <w:tc>
          <w:tcPr/>
          <w:p>
            <w:pPr>
              <w:pStyle w:val="Compact"/>
              <w:jc w:val="left"/>
            </w:pPr>
            <w:r>
              <w:t xml:space="preserve">Registration option</w:t>
            </w:r>
          </w:p>
        </w:tc>
        <w:tc>
          <w:tcPr/>
          <w:p>
            <w:pPr>
              <w:pStyle w:val="Compact"/>
              <w:jc w:val="left"/>
            </w:pPr>
            <w:r>
              <w:t xml:space="preserve">Approach</w:t>
            </w:r>
          </w:p>
        </w:tc>
      </w:tr>
      <w:tr>
        <w:trPr>
          <w:cantSplit/>
        </w:trPr>
        <w:tc>
          <w:tcPr/>
          <w:p>
            <w:pPr>
              <w:pStyle w:val="Compact"/>
              <w:jc w:val="left"/>
            </w:pPr>
            <w:r>
              <w:t xml:space="preserve">Invite-only</w:t>
            </w:r>
          </w:p>
        </w:tc>
        <w:tc>
          <w:tcPr/>
          <w:p>
            <w:pPr>
              <w:pStyle w:val="Compact"/>
              <w:jc w:val="left"/>
            </w:pPr>
            <w:r>
              <w:t xml:space="preserve">Use the Invite API with a patient-scoped policy</w:t>
            </w:r>
          </w:p>
        </w:tc>
      </w:tr>
      <w:tr>
        <w:trPr>
          <w:cantSplit/>
        </w:trPr>
        <w:tc>
          <w:tcPr/>
          <w:p>
            <w:pPr>
              <w:pStyle w:val="Compact"/>
              <w:jc w:val="left"/>
            </w:pPr>
            <w:r>
              <w:t xml:space="preserve">Open self-registration</w:t>
            </w:r>
          </w:p>
        </w:tc>
        <w:tc>
          <w:tcPr/>
          <w:p>
            <w:pPr>
              <w:pStyle w:val="Compact"/>
              <w:jc w:val="left"/>
            </w:pPr>
            <w:r>
              <w:t xml:space="preserve">Set</w:t>
            </w:r>
            <w:r>
              <w:t xml:space="preserve"> </w:t>
            </w:r>
            <w:r>
              <w:rPr>
                <w:rStyle w:val="VerbatimChar"/>
              </w:rPr>
              <w:t xml:space="preserve">Project.defaultPatientAccessPolicy</w:t>
            </w:r>
            <w:r>
              <w:t xml:space="preserve">; this enables open registration</w:t>
            </w:r>
          </w:p>
        </w:tc>
      </w:tr>
    </w:tbl>
    <w:p>
      <w:pPr>
        <w:pStyle w:val="BodyText"/>
      </w:pPr>
      <w:r>
        <w:rPr>
          <w:b/>
          <w:bCs/>
        </w:rPr>
        <w:t xml:space="preserve">Check both enrollment paths.</w:t>
      </w:r>
      <w:r>
        <w:t xml:space="preserve"> </w:t>
      </w:r>
      <w:r>
        <w:t xml:space="preserve">Open registration uses</w:t>
      </w:r>
      <w:r>
        <w:t xml:space="preserve"> </w:t>
      </w:r>
      <w:r>
        <w:rPr>
          <w:rStyle w:val="VerbatimChar"/>
        </w:rPr>
        <w:t xml:space="preserve">Project.defaultPatientAccessPolicy</w:t>
      </w:r>
      <w:r>
        <w:t xml:space="preserve">. Patient invitations without an explicit policy prefer the Patient entry in</w:t>
      </w:r>
      <w:r>
        <w:t xml:space="preserve"> </w:t>
      </w:r>
      <w:r>
        <w:rPr>
          <w:rStyle w:val="VerbatimChar"/>
        </w:rPr>
        <w:t xml:space="preserve">Project.defaultAccessPolicies</w:t>
      </w:r>
      <w:r>
        <w:t xml:space="preserve">, falling back to</w:t>
      </w:r>
      <w:r>
        <w:t xml:space="preserve"> </w:t>
      </w:r>
      <w:r>
        <w:rPr>
          <w:rStyle w:val="VerbatimChar"/>
        </w:rPr>
        <w:t xml:space="preserve">defaultPatientAccessPolicy</w:t>
      </w:r>
      <w:r>
        <w:t xml:space="preserve"> </w:t>
      </w:r>
      <w:r>
        <w:t xml:space="preserve">if that entry is absent. Align these defaults if both paths should grant the same access. Changing the registration default affects future registrations; it does not migrate existing memberships. See</w:t>
      </w:r>
      <w:r>
        <w:t xml:space="preserve"> </w:t>
      </w:r>
      <w:hyperlink r:id="rId55">
        <w:r>
          <w:rPr>
            <w:rStyle w:val="Hyperlink"/>
          </w:rPr>
          <w:t xml:space="preserve">Default Access Policies</w:t>
        </w:r>
      </w:hyperlink>
      <w:r>
        <w:t xml:space="preserve">.</w:t>
      </w:r>
    </w:p>
    <w:bookmarkEnd w:id="58"/>
    <w:bookmarkStart w:id="61" w:name="X868e7299423d828dfd74eb8e917ec75612cf272"/>
    <w:p>
      <w:pPr>
        <w:pStyle w:val="Heading4"/>
      </w:pPr>
      <w:r>
        <w:t xml:space="preserve">Which patient records can each person access?</w:t>
      </w:r>
    </w:p>
    <w:tbl>
      <w:tblPr>
        <w:tblStyle w:val="Table"/>
        <w:tblW w:w="9360" w:type="dxa"/>
        <w:tblLayout w:type="fixed"/>
        <w:tblLook w:firstRow="1" w:lastRow="0" w:firstColumn="0" w:lastColumn="0" w:noHBand="0" w:noVBand="0" w:val="0020"/>
      </w:tblPr>
      <w:tblGrid>
        <w:gridCol w:w="4531"/>
        <w:gridCol w:w="4829"/>
      </w:tblGrid>
      <w:tr>
        <w:trPr>
          <w:cantSplit/>
          <w:tblHeader w:val="on"/>
        </w:trPr>
        <w:tc>
          <w:tcPr/>
          <w:p>
            <w:pPr>
              <w:pStyle w:val="Compact"/>
              <w:jc w:val="left"/>
            </w:pPr>
            <w:r>
              <w:t xml:space="preserve">Access option</w:t>
            </w:r>
          </w:p>
        </w:tc>
        <w:tc>
          <w:tcPr/>
          <w:p>
            <w:pPr>
              <w:pStyle w:val="Compact"/>
              <w:jc w:val="left"/>
            </w:pPr>
            <w:r>
              <w:t xml:space="preserve">Approach</w:t>
            </w:r>
          </w:p>
        </w:tc>
      </w:tr>
      <w:tr>
        <w:trPr>
          <w:cantSplit/>
        </w:trPr>
        <w:tc>
          <w:tcPr/>
          <w:p>
            <w:pPr>
              <w:pStyle w:val="Compact"/>
              <w:jc w:val="left"/>
            </w:pPr>
            <w:r>
              <w:t xml:space="preserve">Patient sees own data</w:t>
            </w:r>
          </w:p>
        </w:tc>
        <w:tc>
          <w:tcPr/>
          <w:p>
            <w:pPr>
              <w:pStyle w:val="Compact"/>
              <w:jc w:val="left"/>
            </w:pPr>
            <w:r>
              <w:t xml:space="preserve">Parameterized policy with</w:t>
            </w:r>
            <w:r>
              <w:t xml:space="preserve"> </w:t>
            </w:r>
            <w:r>
              <w:rPr>
                <w:rStyle w:val="VerbatimChar"/>
              </w:rPr>
              <w:t xml:space="preserve">%patient</w:t>
            </w:r>
            <w:r>
              <w:t xml:space="preserve"> </w:t>
            </w:r>
            <w:r>
              <w:t xml:space="preserve">on clinical resources</w:t>
            </w:r>
          </w:p>
        </w:tc>
      </w:tr>
      <w:tr>
        <w:trPr>
          <w:cantSplit/>
        </w:trPr>
        <w:tc>
          <w:tcPr/>
          <w:p>
            <w:pPr>
              <w:pStyle w:val="Compact"/>
              <w:jc w:val="left"/>
            </w:pPr>
            <w:r>
              <w:t xml:space="preserve">Single caregiver, single patient</w:t>
            </w:r>
          </w:p>
        </w:tc>
        <w:tc>
          <w:tcPr/>
          <w:p>
            <w:pPr>
              <w:pStyle w:val="Compact"/>
              <w:jc w:val="left"/>
            </w:pPr>
            <w:r>
              <w:t xml:space="preserve">One</w:t>
            </w:r>
            <w:r>
              <w:t xml:space="preserve"> </w:t>
            </w:r>
            <w:r>
              <w:rPr>
                <w:rStyle w:val="VerbatimChar"/>
              </w:rPr>
              <w:t xml:space="preserve">access</w:t>
            </w:r>
            <w:r>
              <w:t xml:space="preserve"> </w:t>
            </w:r>
            <w:r>
              <w:t xml:space="preserve">entry with</w:t>
            </w:r>
            <w:r>
              <w:t xml:space="preserve"> </w:t>
            </w:r>
            <w:r>
              <w:rPr>
                <w:rStyle w:val="VerbatimChar"/>
              </w:rPr>
              <w:t xml:space="preserve">%patient</w:t>
            </w:r>
          </w:p>
        </w:tc>
      </w:tr>
      <w:tr>
        <w:trPr>
          <w:cantSplit/>
        </w:trPr>
        <w:tc>
          <w:tcPr/>
          <w:p>
            <w:pPr>
              <w:pStyle w:val="Compact"/>
              <w:jc w:val="left"/>
            </w:pPr>
            <w:r>
              <w:t xml:space="preserve">One caregiver, multiple patients</w:t>
            </w:r>
          </w:p>
        </w:tc>
        <w:tc>
          <w:tcPr/>
          <w:p>
            <w:pPr>
              <w:pStyle w:val="Compact"/>
              <w:jc w:val="left"/>
            </w:pPr>
            <w:r>
              <w:t xml:space="preserve">Multiple</w:t>
            </w:r>
            <w:r>
              <w:t xml:space="preserve"> </w:t>
            </w:r>
            <w:r>
              <w:rPr>
                <w:rStyle w:val="VerbatimChar"/>
              </w:rPr>
              <w:t xml:space="preserve">access</w:t>
            </w:r>
            <w:r>
              <w:t xml:space="preserve"> </w:t>
            </w:r>
            <w:r>
              <w:t xml:space="preserve">entries, different</w:t>
            </w:r>
            <w:r>
              <w:t xml:space="preserve"> </w:t>
            </w:r>
            <w:r>
              <w:rPr>
                <w:rStyle w:val="VerbatimChar"/>
              </w:rPr>
              <w:t xml:space="preserve">%patient</w:t>
            </w:r>
          </w:p>
        </w:tc>
      </w:tr>
      <w:tr>
        <w:trPr>
          <w:cantSplit/>
        </w:trPr>
        <w:tc>
          <w:tcPr/>
          <w:p>
            <w:pPr>
              <w:pStyle w:val="Compact"/>
              <w:jc w:val="left"/>
            </w:pPr>
            <w:r>
              <w:t xml:space="preserve">Multiple caregivers per patient</w:t>
            </w:r>
          </w:p>
        </w:tc>
        <w:tc>
          <w:tcPr/>
          <w:p>
            <w:pPr>
              <w:pStyle w:val="Compact"/>
              <w:jc w:val="left"/>
            </w:pPr>
            <w:r>
              <w:t xml:space="preserve">Each caregiver has their own ProjectMembership</w:t>
            </w:r>
          </w:p>
        </w:tc>
      </w:tr>
      <w:tr>
        <w:trPr>
          <w:cantSplit/>
        </w:trPr>
        <w:tc>
          <w:tcPr/>
          <w:p>
            <w:pPr>
              <w:pStyle w:val="Compact"/>
              <w:jc w:val="left"/>
            </w:pPr>
            <w:r>
              <w:t xml:space="preserve">Revoke caregiver</w:t>
            </w:r>
          </w:p>
        </w:tc>
        <w:tc>
          <w:tcPr/>
          <w:p>
            <w:pPr>
              <w:pStyle w:val="Compact"/>
              <w:jc w:val="left"/>
            </w:pPr>
            <w:r>
              <w:t xml:space="preserve">Remove the corresponding grants and verify API access is revoked</w:t>
            </w:r>
          </w:p>
        </w:tc>
      </w:tr>
      <w:tr>
        <w:trPr>
          <w:cantSplit/>
        </w:trPr>
        <w:tc>
          <w:tcPr/>
          <w:p>
            <w:pPr>
              <w:pStyle w:val="Compact"/>
              <w:jc w:val="left"/>
            </w:pPr>
            <w:r>
              <w:t xml:space="preserve">Time-bound caregiver access (e.g., expires at age 18)</w:t>
            </w:r>
          </w:p>
        </w:tc>
        <w:tc>
          <w:tcPr/>
          <w:p>
            <w:pPr>
              <w:pStyle w:val="Compact"/>
              <w:jc w:val="left"/>
            </w:pPr>
            <w:r>
              <w:t xml:space="preserve">Automate removal of the corresponding membership grants at expiry; hiding access in the UI is insufficient</w:t>
            </w:r>
          </w:p>
        </w:tc>
      </w:tr>
    </w:tbl>
    <w:p>
      <w:pPr>
        <w:pStyle w:val="BodyText"/>
      </w:pPr>
      <w:r>
        <w:t xml:space="preserve">Implementation:</w:t>
      </w:r>
      <w:r>
        <w:t xml:space="preserve"> </w:t>
      </w:r>
      <w:hyperlink r:id="rId59">
        <w:r>
          <w:rPr>
            <w:rStyle w:val="Hyperlink"/>
          </w:rPr>
          <w:t xml:space="preserve">Patient and Caregiver Policies</w:t>
        </w:r>
      </w:hyperlink>
      <w:r>
        <w:t xml:space="preserve">,</w:t>
      </w:r>
      <w:r>
        <w:t xml:space="preserve"> </w:t>
      </w:r>
      <w:hyperlink r:id="rId60">
        <w:r>
          <w:rPr>
            <w:rStyle w:val="Hyperlink"/>
          </w:rPr>
          <w:t xml:space="preserve">Open Patient Registration</w:t>
        </w:r>
      </w:hyperlink>
      <w:r>
        <w:t xml:space="preserve">.</w:t>
      </w:r>
    </w:p>
    <w:bookmarkEnd w:id="61"/>
    <w:bookmarkEnd w:id="62"/>
    <w:bookmarkStart w:id="64" w:name="how-will-third-party-apps-get-access"/>
    <w:p>
      <w:pPr>
        <w:pStyle w:val="Heading3"/>
      </w:pPr>
      <w:r>
        <w:t xml:space="preserve">How will third-party apps get access?</w:t>
      </w:r>
    </w:p>
    <w:p>
      <w:pPr>
        <w:pStyle w:val="FirstParagraph"/>
      </w:pPr>
      <w:r>
        <w:rPr>
          <w:b/>
          <w:bCs/>
        </w:rPr>
        <w:t xml:space="preserve">If an app needs SMART launch or delegated access.</w:t>
      </w:r>
      <w:r>
        <w:t xml:space="preserve"> </w:t>
      </w:r>
      <w:r>
        <w:t xml:space="preserve">SMART is commonly used for third-party integrations, but is not limited to them.</w:t>
      </w:r>
    </w:p>
    <w:p>
      <w:pPr>
        <w:pStyle w:val="BodyText"/>
      </w:pPr>
      <w:r>
        <w:t xml:space="preserve">Choose patient-context, provider-context, or standalone launch. Define the scopes the app needs and whether it needs offline access.</w:t>
      </w:r>
    </w:p>
    <w:tbl>
      <w:tblPr>
        <w:tblStyle w:val="Table"/>
        <w:tblW w:w="9360" w:type="dxa"/>
        <w:tblLayout w:type="fixed"/>
        <w:tblLook w:firstRow="1" w:lastRow="0" w:firstColumn="0" w:lastColumn="0" w:noHBand="0" w:noVBand="0" w:val="0020"/>
      </w:tblPr>
      <w:tblGrid>
        <w:gridCol w:w="4569"/>
        <w:gridCol w:w="4791"/>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Your own frontend without SMART launch requirements</w:t>
            </w:r>
          </w:p>
        </w:tc>
        <w:tc>
          <w:tcPr/>
          <w:p>
            <w:pPr>
              <w:pStyle w:val="Compact"/>
              <w:jc w:val="left"/>
            </w:pPr>
            <w:r>
              <w:t xml:space="preserve">Use a standard ClientApplication and AccessPolicy</w:t>
            </w:r>
          </w:p>
        </w:tc>
      </w:tr>
      <w:tr>
        <w:trPr>
          <w:cantSplit/>
        </w:trPr>
        <w:tc>
          <w:tcPr/>
          <w:p>
            <w:pPr>
              <w:pStyle w:val="Compact"/>
              <w:jc w:val="left"/>
            </w:pPr>
            <w:r>
              <w:t xml:space="preserve">App launched from an EHR or portal</w:t>
            </w:r>
          </w:p>
        </w:tc>
        <w:tc>
          <w:tcPr/>
          <w:p>
            <w:pPr>
              <w:pStyle w:val="Compact"/>
              <w:jc w:val="left"/>
            </w:pPr>
            <w:r>
              <w:t xml:space="preserve">Request</w:t>
            </w:r>
            <w:r>
              <w:t xml:space="preserve"> </w:t>
            </w:r>
            <w:r>
              <w:rPr>
                <w:rStyle w:val="VerbatimChar"/>
              </w:rPr>
              <w:t xml:space="preserve">launch</w:t>
            </w:r>
            <w:r>
              <w:t xml:space="preserve"> </w:t>
            </w:r>
            <w:r>
              <w:t xml:space="preserve">plus the clinical data scopes the app needs</w:t>
            </w:r>
          </w:p>
        </w:tc>
      </w:tr>
      <w:tr>
        <w:trPr>
          <w:cantSplit/>
        </w:trPr>
        <w:tc>
          <w:tcPr/>
          <w:p>
            <w:pPr>
              <w:pStyle w:val="Compact"/>
              <w:jc w:val="left"/>
            </w:pPr>
            <w:r>
              <w:t xml:space="preserve">Standalone app needing patient selection</w:t>
            </w:r>
          </w:p>
        </w:tc>
        <w:tc>
          <w:tcPr/>
          <w:p>
            <w:pPr>
              <w:pStyle w:val="Compact"/>
              <w:jc w:val="left"/>
            </w:pPr>
            <w:r>
              <w:t xml:space="preserve">Request</w:t>
            </w:r>
            <w:r>
              <w:t xml:space="preserve"> </w:t>
            </w:r>
            <w:r>
              <w:rPr>
                <w:rStyle w:val="VerbatimChar"/>
              </w:rPr>
              <w:t xml:space="preserve">launch/patient</w:t>
            </w:r>
            <w:r>
              <w:t xml:space="preserve"> </w:t>
            </w:r>
            <w:r>
              <w:t xml:space="preserve">plus patient data scopes, such as</w:t>
            </w:r>
            <w:r>
              <w:t xml:space="preserve"> </w:t>
            </w:r>
            <w:r>
              <w:rPr>
                <w:rStyle w:val="VerbatimChar"/>
              </w:rPr>
              <w:t xml:space="preserve">patient/*.rs</w:t>
            </w:r>
          </w:p>
        </w:tc>
      </w:tr>
      <w:tr>
        <w:trPr>
          <w:cantSplit/>
        </w:trPr>
        <w:tc>
          <w:tcPr/>
          <w:p>
            <w:pPr>
              <w:pStyle w:val="Compact"/>
              <w:jc w:val="left"/>
            </w:pPr>
            <w:r>
              <w:t xml:space="preserve">Patient data access</w:t>
            </w:r>
          </w:p>
        </w:tc>
        <w:tc>
          <w:tcPr/>
          <w:p>
            <w:pPr>
              <w:pStyle w:val="Compact"/>
              <w:jc w:val="left"/>
            </w:pPr>
            <w:r>
              <w:t xml:space="preserve">Use</w:t>
            </w:r>
            <w:r>
              <w:t xml:space="preserve"> </w:t>
            </w:r>
            <w:r>
              <w:rPr>
                <w:rStyle w:val="VerbatimChar"/>
              </w:rPr>
              <w:t xml:space="preserve">patient/</w:t>
            </w:r>
            <w:r>
              <w:t xml:space="preserve"> </w:t>
            </w:r>
            <w:r>
              <w:t xml:space="preserve">scopes with patient context; narrow the resource types where possible</w:t>
            </w:r>
          </w:p>
        </w:tc>
      </w:tr>
      <w:tr>
        <w:trPr>
          <w:cantSplit/>
        </w:trPr>
        <w:tc>
          <w:tcPr/>
          <w:p>
            <w:pPr>
              <w:pStyle w:val="Compact"/>
              <w:jc w:val="left"/>
            </w:pPr>
            <w:r>
              <w:t xml:space="preserve">Access within the current user’s permissions</w:t>
            </w:r>
          </w:p>
        </w:tc>
        <w:tc>
          <w:tcPr/>
          <w:p>
            <w:pPr>
              <w:pStyle w:val="Compact"/>
              <w:jc w:val="left"/>
            </w:pPr>
            <w:r>
              <w:t xml:space="preserve">Use</w:t>
            </w:r>
            <w:r>
              <w:t xml:space="preserve"> </w:t>
            </w:r>
            <w:r>
              <w:rPr>
                <w:rStyle w:val="VerbatimChar"/>
              </w:rPr>
              <w:t xml:space="preserve">user/</w:t>
            </w:r>
            <w:r>
              <w:t xml:space="preserve"> </w:t>
            </w:r>
            <w:r>
              <w:t xml:space="preserve">scopes and the user’s AccessPolicy</w:t>
            </w:r>
          </w:p>
        </w:tc>
      </w:tr>
      <w:tr>
        <w:trPr>
          <w:cantSplit/>
        </w:trPr>
        <w:tc>
          <w:tcPr/>
          <w:p>
            <w:pPr>
              <w:pStyle w:val="Compact"/>
              <w:jc w:val="left"/>
            </w:pPr>
            <w:r>
              <w:t xml:space="preserve">Access after the user is offline</w:t>
            </w:r>
          </w:p>
        </w:tc>
        <w:tc>
          <w:tcPr/>
          <w:p>
            <w:pPr>
              <w:pStyle w:val="Compact"/>
              <w:jc w:val="left"/>
            </w:pPr>
            <w:r>
              <w:t xml:space="preserve">Request</w:t>
            </w:r>
            <w:r>
              <w:t xml:space="preserve"> </w:t>
            </w:r>
            <w:r>
              <w:rPr>
                <w:rStyle w:val="VerbatimChar"/>
              </w:rPr>
              <w:t xml:space="preserve">offline_access</w:t>
            </w:r>
            <w:r>
              <w:t xml:space="preserve"> </w:t>
            </w:r>
            <w:r>
              <w:t xml:space="preserve">for a refresh token</w:t>
            </w:r>
          </w:p>
        </w:tc>
      </w:tr>
    </w:tbl>
    <w:p>
      <w:pPr>
        <w:pStyle w:val="BodyText"/>
      </w:pPr>
      <w:r>
        <w:t xml:space="preserve">Launch scopes request context; they do not grant clinical data access. Clinical scopes work alongside AccessPolicy restrictions. Use</w:t>
      </w:r>
      <w:r>
        <w:t xml:space="preserve"> </w:t>
      </w:r>
      <w:r>
        <w:rPr>
          <w:rStyle w:val="VerbatimChar"/>
        </w:rPr>
        <w:t xml:space="preserve">.rs</w:t>
      </w:r>
      <w:r>
        <w:t xml:space="preserve"> </w:t>
      </w:r>
      <w:r>
        <w:t xml:space="preserve">for read/search access or</w:t>
      </w:r>
      <w:r>
        <w:t xml:space="preserve"> </w:t>
      </w:r>
      <w:r>
        <w:rPr>
          <w:rStyle w:val="VerbatimChar"/>
        </w:rPr>
        <w:t xml:space="preserve">.cruds</w:t>
      </w:r>
      <w:r>
        <w:t xml:space="preserve"> </w:t>
      </w:r>
      <w:r>
        <w:t xml:space="preserve">for full access within the policy; enforce finer interaction restrictions through</w:t>
      </w:r>
      <w:r>
        <w:t xml:space="preserve"> </w:t>
      </w:r>
      <w:r>
        <w:rPr>
          <w:rStyle w:val="VerbatimChar"/>
        </w:rPr>
        <w:t xml:space="preserve">AccessPolicy.resource.interaction</w:t>
      </w:r>
      <w:r>
        <w:t xml:space="preserve"> </w:t>
      </w:r>
      <w:r>
        <w:t xml:space="preserve">rather than assuming arbitrary SMART permission-letter combinations are enforced.</w:t>
      </w:r>
    </w:p>
    <w:p>
      <w:pPr>
        <w:pStyle w:val="BodyText"/>
      </w:pPr>
      <w:r>
        <w:t xml:space="preserve">Implementation:</w:t>
      </w:r>
      <w:r>
        <w:t xml:space="preserve"> </w:t>
      </w:r>
      <w:hyperlink r:id="rId63">
        <w:r>
          <w:rPr>
            <w:rStyle w:val="Hyperlink"/>
          </w:rPr>
          <w:t xml:space="preserve">SMART Scopes</w:t>
        </w:r>
      </w:hyperlink>
      <w:r>
        <w:t xml:space="preserve">.</w:t>
      </w:r>
    </w:p>
    <w:bookmarkEnd w:id="64"/>
    <w:bookmarkStart w:id="66" w:name="X0b6fa8281b5f865471d78f98975d7269c9272cd"/>
    <w:p>
      <w:pPr>
        <w:pStyle w:val="Heading3"/>
      </w:pPr>
      <w:r>
        <w:t xml:space="preserve">Should access be restricted to specific networks?</w:t>
      </w:r>
    </w:p>
    <w:p>
      <w:pPr>
        <w:pStyle w:val="FirstParagraph"/>
      </w:pPr>
      <w:r>
        <w:rPr>
          <w:b/>
          <w:bCs/>
        </w:rPr>
        <w:t xml:space="preserve">If access should be restricted by IP range.</w:t>
      </w:r>
    </w:p>
    <w:p>
      <w:pPr>
        <w:pStyle w:val="BodyText"/>
      </w:pPr>
      <w:r>
        <w:t xml:space="preserve">Choose which networks can connect, such as a VPN or clinic network, and whether different roles need different rules.</w:t>
      </w:r>
    </w:p>
    <w:tbl>
      <w:tblPr>
        <w:tblStyle w:val="Table"/>
        <w:tblW w:w="9360" w:type="dxa"/>
        <w:tblLook w:firstRow="1" w:lastRow="0" w:firstColumn="0" w:lastColumn="0" w:noHBand="0" w:noVBand="0" w:val="0020"/>
        <w:tblLayout w:type="fixed"/>
      </w:tblPr>
      <w:tblGrid>
        <w:gridCol w:w="2496"/>
        <w:gridCol w:w="6864"/>
      </w:tblGrid>
      <w:tr>
        <w:trPr>
          <w:cantSplit/>
          <w:tblHeader w:val="on"/>
        </w:trPr>
        <w:tc>
          <w:tcPr/>
          <w:p>
            <w:pPr>
              <w:pStyle w:val="Compact"/>
              <w:jc w:val="left"/>
            </w:pPr>
            <w:r>
              <w:t xml:space="preserve">Situation</w:t>
            </w:r>
          </w:p>
        </w:tc>
        <w:tc>
          <w:tcPr/>
          <w:p>
            <w:pPr>
              <w:pStyle w:val="Compact"/>
              <w:jc w:val="left"/>
            </w:pPr>
            <w:r>
              <w:t xml:space="preserve">Approach</w:t>
            </w:r>
          </w:p>
        </w:tc>
      </w:tr>
      <w:tr>
        <w:trPr>
          <w:cantSplit/>
        </w:trPr>
        <w:tc>
          <w:tcPr/>
          <w:p>
            <w:pPr>
              <w:pStyle w:val="Compact"/>
              <w:jc w:val="left"/>
            </w:pPr>
            <w:r>
              <w:t xml:space="preserve">VPN-only</w:t>
            </w:r>
          </w:p>
        </w:tc>
        <w:tc>
          <w:tcPr/>
          <w:p>
            <w:pPr>
              <w:pStyle w:val="Compact"/>
              <w:jc w:val="left"/>
            </w:pPr>
            <w:r>
              <w:t xml:space="preserve">Allow VPN ranges + wildcard block</w:t>
            </w:r>
          </w:p>
        </w:tc>
      </w:tr>
      <w:tr>
        <w:trPr>
          <w:cantSplit/>
        </w:trPr>
        <w:tc>
          <w:tcPr/>
          <w:p>
            <w:pPr>
              <w:pStyle w:val="Compact"/>
              <w:jc w:val="left"/>
            </w:pPr>
            <w:r>
              <w:t xml:space="preserve">On-prem only</w:t>
            </w:r>
          </w:p>
        </w:tc>
        <w:tc>
          <w:tcPr/>
          <w:p>
            <w:pPr>
              <w:pStyle w:val="Compact"/>
              <w:jc w:val="left"/>
            </w:pPr>
            <w:r>
              <w:t xml:space="preserve">Allow clinic network + wildcard block</w:t>
            </w:r>
          </w:p>
        </w:tc>
      </w:tr>
      <w:tr>
        <w:trPr>
          <w:cantSplit/>
        </w:trPr>
        <w:tc>
          <w:tcPr/>
          <w:p>
            <w:pPr>
              <w:pStyle w:val="Compact"/>
              <w:jc w:val="left"/>
            </w:pPr>
            <w:r>
              <w:t xml:space="preserve">Mixed</w:t>
            </w:r>
          </w:p>
        </w:tc>
        <w:tc>
          <w:tcPr/>
          <w:p>
            <w:pPr>
              <w:pStyle w:val="Compact"/>
              <w:jc w:val="left"/>
            </w:pPr>
            <w:r>
              <w:t xml:space="preserve">Different AccessPolicies per role</w:t>
            </w:r>
          </w:p>
        </w:tc>
      </w:tr>
    </w:tbl>
    <w:p>
      <w:pPr>
        <w:pStyle w:val="BodyText"/>
      </w:pPr>
      <w:r>
        <w:t xml:space="preserve">Use the documented IPv4 address or address-prefix rules, not CIDR notation. The first matching rule wins; end an allowlist with a wildcard block.</w:t>
      </w:r>
    </w:p>
    <w:p>
      <w:pPr>
        <w:pStyle w:val="BodyText"/>
      </w:pPr>
      <w:r>
        <w:t xml:space="preserve">These rules apply to supported authentication paths, but are not enforced on refresh-token requests or rechecked on every bearer-token API call. Do not use them as the sole control for a requirement that every request originate from an approved network.</w:t>
      </w:r>
    </w:p>
    <w:p>
      <w:pPr>
        <w:pStyle w:val="BodyText"/>
      </w:pPr>
      <w:r>
        <w:t xml:space="preserve">Implementation:</w:t>
      </w:r>
      <w:r>
        <w:t xml:space="preserve"> </w:t>
      </w:r>
      <w:hyperlink r:id="rId65">
        <w:r>
          <w:rPr>
            <w:rStyle w:val="Hyperlink"/>
          </w:rPr>
          <w:t xml:space="preserve">IP Access Rules</w:t>
        </w:r>
      </w:hyperlink>
      <w:r>
        <w:t xml:space="preserve">.</w:t>
      </w:r>
    </w:p>
    <w:bookmarkEnd w:id="66"/>
    <w:bookmarkEnd w:id="67"/>
    <w:bookmarkStart w:id="68" w:name="decisions-to-record"/>
    <w:p>
      <w:pPr>
        <w:pStyle w:val="Heading2"/>
      </w:pPr>
      <w:r>
        <w:t xml:space="preserve">Decisions to Record</w:t>
      </w:r>
    </w:p>
    <w:p>
      <w:pPr>
        <w:pStyle w:val="Compact"/>
        <w:numPr>
          <w:ilvl w:val="0"/>
          <w:numId w:val="1006"/>
        </w:numPr>
      </w:pPr>
      <w:r>
        <w:rPr>
          <w:b/>
          <w:bCs/>
        </w:rPr>
        <w:t xml:space="preserve">Tenant boundaries:</w:t>
      </w:r>
      <w:r>
        <w:t xml:space="preserve"> </w:t>
      </w:r>
      <w:r>
        <w:t xml:space="preserve">Isolated and shared data, including handling of patient transfers.</w:t>
      </w:r>
    </w:p>
    <w:p>
      <w:pPr>
        <w:pStyle w:val="Compact"/>
        <w:numPr>
          <w:ilvl w:val="0"/>
          <w:numId w:val="1006"/>
        </w:numPr>
      </w:pPr>
      <w:r>
        <w:rPr>
          <w:b/>
          <w:bCs/>
        </w:rPr>
        <w:t xml:space="preserve">Role permissions:</w:t>
      </w:r>
      <w:r>
        <w:t xml:space="preserve"> </w:t>
      </w:r>
      <w:r>
        <w:t xml:space="preserve">Allowed data and actions, distinguishing API restrictions from UI filters.</w:t>
      </w:r>
    </w:p>
    <w:p>
      <w:pPr>
        <w:pStyle w:val="Compact"/>
        <w:numPr>
          <w:ilvl w:val="0"/>
          <w:numId w:val="1006"/>
        </w:numPr>
      </w:pPr>
      <w:r>
        <w:rPr>
          <w:b/>
          <w:bCs/>
        </w:rPr>
        <w:t xml:space="preserve">Automation identity:</w:t>
      </w:r>
      <w:r>
        <w:t xml:space="preserve"> </w:t>
      </w:r>
      <w:r>
        <w:t xml:space="preserve">Identity and permissions for each Bot or backend service, where applicable.</w:t>
      </w:r>
    </w:p>
    <w:p>
      <w:pPr>
        <w:pStyle w:val="Compact"/>
        <w:numPr>
          <w:ilvl w:val="0"/>
          <w:numId w:val="1006"/>
        </w:numPr>
      </w:pPr>
      <w:r>
        <w:rPr>
          <w:b/>
          <w:bCs/>
        </w:rPr>
        <w:t xml:space="preserve">Access lifecycle:</w:t>
      </w:r>
      <w:r>
        <w:t xml:space="preserve"> </w:t>
      </w:r>
      <w:r>
        <w:t xml:space="preserve">Owners for grants, changes, revocation, expiry, and transfers.</w:t>
      </w:r>
    </w:p>
    <w:p>
      <w:pPr>
        <w:pStyle w:val="Compact"/>
        <w:numPr>
          <w:ilvl w:val="0"/>
          <w:numId w:val="1006"/>
        </w:numPr>
      </w:pPr>
      <w:r>
        <w:rPr>
          <w:b/>
          <w:bCs/>
        </w:rPr>
        <w:t xml:space="preserve">API acceptance checks:</w:t>
      </w:r>
      <w:r>
        <w:t xml:space="preserve"> </w:t>
      </w:r>
      <w:r>
        <w:t xml:space="preserve">Requests that should succeed or fail for each role, including after revocation.</w:t>
      </w:r>
    </w:p>
    <w:bookmarkEnd w:id="68"/>
    <w:bookmarkEnd w:id="69"/>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3" Target="/docs/access" TargetMode="External" /><Relationship Type="http://schemas.openxmlformats.org/officeDocument/2006/relationships/hyperlink" Id="rId48" Target="/docs/access/access-policies" TargetMode="External" /><Relationship Type="http://schemas.openxmlformats.org/officeDocument/2006/relationships/hyperlink" Id="rId59" Target="/docs/access/access-policies#caregiver-access" TargetMode="External" /><Relationship Type="http://schemas.openxmlformats.org/officeDocument/2006/relationships/hyperlink" Id="rId55" Target="/docs/access/access-policies#default-access-policies" TargetMode="External" /><Relationship Type="http://schemas.openxmlformats.org/officeDocument/2006/relationships/hyperlink" Id="rId41" Target="/docs/access/access-policies#parameterized-policies" TargetMode="External" /><Relationship Type="http://schemas.openxmlformats.org/officeDocument/2006/relationships/hyperlink" Id="rId54" Target="/docs/access/admin" TargetMode="External" /><Relationship Type="http://schemas.openxmlformats.org/officeDocument/2006/relationships/hyperlink" Id="rId47" Target="/docs/access/binary-security-context" TargetMode="External" /><Relationship Type="http://schemas.openxmlformats.org/officeDocument/2006/relationships/hyperlink" Id="rId65" Target="/docs/access/ip-access-rules" TargetMode="External" /><Relationship Type="http://schemas.openxmlformats.org/officeDocument/2006/relationships/hyperlink" Id="rId20" Target="/docs/access/multi-tenant-access-policy" TargetMode="External" /><Relationship Type="http://schemas.openxmlformats.org/officeDocument/2006/relationships/hyperlink" Id="rId32" Target="/docs/access/multi-tenant-access-policy#why-is-patient-a-special-case" TargetMode="External" /><Relationship Type="http://schemas.openxmlformats.org/officeDocument/2006/relationships/hyperlink" Id="rId29" Target="/docs/access/projects#project-linking" TargetMode="External" /><Relationship Type="http://schemas.openxmlformats.org/officeDocument/2006/relationships/hyperlink" Id="rId63" Target="/docs/access/smart-scopes" TargetMode="External" /><Relationship Type="http://schemas.openxmlformats.org/officeDocument/2006/relationships/hyperlink" Id="rId31" Target="/docs/api/fhir/operations/set-accounts" TargetMode="External" /><Relationship Type="http://schemas.openxmlformats.org/officeDocument/2006/relationships/hyperlink" Id="rId39" Target="/docs/api/project-admin/invite" TargetMode="External" /><Relationship Type="http://schemas.openxmlformats.org/officeDocument/2006/relationships/hyperlink" Id="rId56" Target="/docs/auth/on-behalf-of" TargetMode="External" /><Relationship Type="http://schemas.openxmlformats.org/officeDocument/2006/relationships/hyperlink" Id="rId28" Target="/docs/bots/bot-run-as-user" TargetMode="External" /><Relationship Type="http://schemas.openxmlformats.org/officeDocument/2006/relationships/hyperlink" Id="rId12" Target="/docs/decision-guides/authentication" TargetMode="External" /><Relationship Type="http://schemas.openxmlformats.org/officeDocument/2006/relationships/hyperlink" Id="rId49" Target="/docs/scheduling/state-by-state-licensure" TargetMode="External" /><Relationship Type="http://schemas.openxmlformats.org/officeDocument/2006/relationships/hyperlink" Id="rId60" Target="/docs/user-management/open-patient-registration" TargetMode="External" /><Relationship Type="http://schemas.openxmlformats.org/officeDocument/2006/relationships/hyperlink" Id="rId33" Target="https://github.com/medplum/medplum/blob/main/examples/medplum-mso-demo/src/utils/enrollment.ts" TargetMode="External" /></Relationships>
</file>

<file path=word/_rels/footnotes.xml.rels><?xml version="1.0" encoding="UTF-8"?><Relationships xmlns="http://schemas.openxmlformats.org/package/2006/relationships"><Relationship Type="http://schemas.openxmlformats.org/officeDocument/2006/relationships/hyperlink" Id="rId13" Target="/docs/access" TargetMode="External" /><Relationship Type="http://schemas.openxmlformats.org/officeDocument/2006/relationships/hyperlink" Id="rId48" Target="/docs/access/access-policies" TargetMode="External" /><Relationship Type="http://schemas.openxmlformats.org/officeDocument/2006/relationships/hyperlink" Id="rId59" Target="/docs/access/access-policies#caregiver-access" TargetMode="External" /><Relationship Type="http://schemas.openxmlformats.org/officeDocument/2006/relationships/hyperlink" Id="rId55" Target="/docs/access/access-policies#default-access-policies" TargetMode="External" /><Relationship Type="http://schemas.openxmlformats.org/officeDocument/2006/relationships/hyperlink" Id="rId41" Target="/docs/access/access-policies#parameterized-policies" TargetMode="External" /><Relationship Type="http://schemas.openxmlformats.org/officeDocument/2006/relationships/hyperlink" Id="rId54" Target="/docs/access/admin" TargetMode="External" /><Relationship Type="http://schemas.openxmlformats.org/officeDocument/2006/relationships/hyperlink" Id="rId47" Target="/docs/access/binary-security-context" TargetMode="External" /><Relationship Type="http://schemas.openxmlformats.org/officeDocument/2006/relationships/hyperlink" Id="rId65" Target="/docs/access/ip-access-rules" TargetMode="External" /><Relationship Type="http://schemas.openxmlformats.org/officeDocument/2006/relationships/hyperlink" Id="rId20" Target="/docs/access/multi-tenant-access-policy" TargetMode="External" /><Relationship Type="http://schemas.openxmlformats.org/officeDocument/2006/relationships/hyperlink" Id="rId32" Target="/docs/access/multi-tenant-access-policy#why-is-patient-a-special-case" TargetMode="External" /><Relationship Type="http://schemas.openxmlformats.org/officeDocument/2006/relationships/hyperlink" Id="rId29" Target="/docs/access/projects#project-linking" TargetMode="External" /><Relationship Type="http://schemas.openxmlformats.org/officeDocument/2006/relationships/hyperlink" Id="rId63" Target="/docs/access/smart-scopes" TargetMode="External" /><Relationship Type="http://schemas.openxmlformats.org/officeDocument/2006/relationships/hyperlink" Id="rId31" Target="/docs/api/fhir/operations/set-accounts" TargetMode="External" /><Relationship Type="http://schemas.openxmlformats.org/officeDocument/2006/relationships/hyperlink" Id="rId39" Target="/docs/api/project-admin/invite" TargetMode="External" /><Relationship Type="http://schemas.openxmlformats.org/officeDocument/2006/relationships/hyperlink" Id="rId56" Target="/docs/auth/on-behalf-of" TargetMode="External" /><Relationship Type="http://schemas.openxmlformats.org/officeDocument/2006/relationships/hyperlink" Id="rId28" Target="/docs/bots/bot-run-as-user" TargetMode="External" /><Relationship Type="http://schemas.openxmlformats.org/officeDocument/2006/relationships/hyperlink" Id="rId12" Target="/docs/decision-guides/authentication" TargetMode="External" /><Relationship Type="http://schemas.openxmlformats.org/officeDocument/2006/relationships/hyperlink" Id="rId49" Target="/docs/scheduling/state-by-state-licensure" TargetMode="External" /><Relationship Type="http://schemas.openxmlformats.org/officeDocument/2006/relationships/hyperlink" Id="rId60" Target="/docs/user-management/open-patient-registration" TargetMode="External" /><Relationship Type="http://schemas.openxmlformats.org/officeDocument/2006/relationships/hyperlink" Id="rId33" Target="https://github.com/medplum/medplum/blob/main/examples/medplum-mso-demo/src/utils/enrollment.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