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786"/>
      </w:tblGrid>
      <w:tr>
        <w:trPr>
          <w:trHeight w:hRule="exact" w:val="15618"/>
        </w:trPr>
        <w:tc>
          <w:tcPr>
            <w:tcW w:type="dxa" w:w="10706"/>
            <w:tcBorders>
              <w:start w:sz="24.0" w:val="single" w:color="#1E59A5"/>
              <w:top w:sz="24.0" w:val="single" w:color="#1E59A5"/>
              <w:end w:sz="24.0" w:val="single" w:color="#1E59A5"/>
              <w:bottom w:sz="24.0" w:val="single" w:color="#1E59A5"/>
            </w:tcBorders>
            <w:tcMar>
              <w:start w:w="0" w:type="dxa"/>
              <w:end w:w="0" w:type="dxa"/>
            </w:tcMar>
          </w:tcPr>
          <w:p>
            <w:pPr>
              <w:bidi/>
              <w:autoSpaceDN w:val="0"/>
              <w:autoSpaceDE w:val="0"/>
              <w:widowControl/>
              <w:spacing w:line="245" w:lineRule="auto" w:before="366" w:after="0"/>
              <w:ind w:left="5668" w:right="288" w:hanging="1560"/>
            </w:pPr>
            <w:r>
              <w:rPr>
                <w:rFonts w:ascii="Amiri" w:hAnsi="Amiri" w:eastAsia="Amiri"/>
                <w:b/>
                <w:i w:val="0"/>
                <w:color w:val="1A4080"/>
                <w:sz w:val="36"/>
                <w:rtl/>
              </w:rPr>
              <w:t>2026 عقد تقديم خدمات برمجية وتطوير أنظمة لعام</w:t>
            </w:r>
            <w:r>
              <w:rPr>
                <w:rFonts w:ascii="Amiri" w:hAnsi="Amiri" w:eastAsia="Amiri"/>
                <w:b w:val="0"/>
                <w:i w:val="0"/>
                <w:color w:val="4D4D4D"/>
                <w:sz w:val="22"/>
                <w:rtl/>
              </w:rPr>
              <w:t>TECH-2026-042 :م | الرقم التعاقدي2026  يناير15 :التاريخ</w:t>
            </w:r>
          </w:p>
          <w:p>
            <w:pPr>
              <w:bidi/>
              <w:autoSpaceDN w:val="0"/>
              <w:autoSpaceDE w:val="0"/>
              <w:widowControl/>
              <w:spacing w:line="240" w:lineRule="auto" w:before="268" w:after="0"/>
              <w:ind w:left="0" w:right="370" w:firstLine="0"/>
            </w:pPr>
            <w:r>
              <w:rPr>
                <w:rFonts w:ascii="Amiri" w:hAnsi="Amiri" w:eastAsia="Amiri"/>
                <w:b/>
                <w:i w:val="0"/>
                <w:color w:val="1F59A6"/>
                <w:sz w:val="26"/>
                <w:rtl/>
              </w:rPr>
              <w:t>أوال: أطراف العقد والتمهيد</w:t>
            </w:r>
          </w:p>
          <w:p>
            <w:pPr>
              <w:bidi/>
              <w:autoSpaceDN w:val="0"/>
              <w:autoSpaceDE w:val="0"/>
              <w:widowControl/>
              <w:spacing w:line="245" w:lineRule="auto" w:before="88" w:after="0"/>
              <w:ind w:left="4336" w:right="288" w:firstLine="214"/>
            </w:pPr>
            <w:r>
              <w:rPr>
                <w:rFonts w:ascii="Amiri" w:hAnsi="Amiri" w:eastAsia="Amiri"/>
                <w:b w:val="0"/>
                <w:i w:val="0"/>
                <w:color w:val="1A1A1A"/>
                <w:sz w:val="22"/>
                <w:rtl/>
              </w:rPr>
              <w:t>1010482910 الطرف الأول: شركة الحلول التقنية الذكية، سجل تجاري رقم</w:t>
            </w:r>
            <w:r>
              <w:rPr>
                <w:rFonts w:ascii="Amiri" w:hAnsi="Amiri" w:eastAsia="Amiri"/>
                <w:b w:val="0"/>
                <w:i w:val="0"/>
                <w:color w:val="1A1A1A"/>
                <w:sz w:val="22"/>
                <w:rtl/>
              </w:rPr>
              <w:t>1010593821 الطرف الثاني: مؤسسة التطوير والريادة لألعمال، سجل تجاري رقم</w:t>
            </w:r>
          </w:p>
          <w:p>
            <w:pPr>
              <w:bidi/>
              <w:autoSpaceDN w:val="0"/>
              <w:autoSpaceDE w:val="0"/>
              <w:widowControl/>
              <w:spacing w:line="240" w:lineRule="auto" w:before="124" w:after="0"/>
              <w:ind w:left="0" w:right="370" w:firstLine="0"/>
            </w:pPr>
            <w:r>
              <w:rPr>
                <w:rFonts w:ascii="Amiri" w:hAnsi="Amiri" w:eastAsia="Amiri"/>
                <w:b w:val="0"/>
                <w:i w:val="0"/>
                <w:color w:val="1A1A1A"/>
                <w:sz w:val="21"/>
                <w:rtl/>
              </w:rPr>
              <w:t>:اتفق الطرفان بكامل الأهلية المعتبرة شرعا ونظاما على تنفيذ المشروع وفق الشروط التالية</w:t>
            </w:r>
          </w:p>
          <w:p>
            <w:pPr>
              <w:bidi/>
              <w:autoSpaceDN w:val="0"/>
              <w:autoSpaceDE w:val="0"/>
              <w:widowControl/>
              <w:spacing w:line="252" w:lineRule="auto" w:before="196" w:after="0"/>
              <w:ind w:left="3744" w:right="370" w:firstLine="0"/>
            </w:pPr>
            <w:r>
              <w:rPr>
                <w:rFonts w:ascii="Amiri" w:hAnsi="Amiri" w:eastAsia="Amiri"/>
                <w:b/>
                <w:i w:val="0"/>
                <w:color w:val="1F59A6"/>
                <w:sz w:val="24"/>
                <w:rtl/>
              </w:rPr>
              <w:t>ثانيا: نطاق العمل والالتزامات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262626"/>
                <w:sz w:val="21"/>
                <w:rtl/>
              </w:rPr>
              <w:t xml:space="preserve">.. يلتزم الطرف الأول بتطوير وتوريد النظام السحابي شامال واجهات المستخدم وقواعد البيانات1 </w:t>
            </w:r>
            <w:r>
              <w:rPr>
                <w:rFonts w:ascii="Amiri" w:hAnsi="Amiri" w:eastAsia="Amiri"/>
                <w:b w:val="0"/>
                <w:i w:val="0"/>
                <w:color w:val="262626"/>
                <w:sz w:val="21"/>
                <w:rtl/>
              </w:rPr>
              <w:t xml:space="preserve">.. يلتزم الطرف الثاني بتوفير كافة المتطلبات والبيانات الالزمة لبدء العمل في الموعد المحدد2 </w:t>
            </w:r>
            <w:r>
              <w:rPr>
                <w:rFonts w:ascii="Amiri" w:hAnsi="Amiri" w:eastAsia="Amiri"/>
                <w:b w:val="0"/>
                <w:i w:val="0"/>
                <w:color w:val="262626"/>
                <w:sz w:val="21"/>
                <w:rtl/>
              </w:rPr>
              <w:t>.. لا يجوز ألي طرف إفشاء المعلومات السرية أو نقلها لطرف ثالث دون موافقة كتابية مسبقة3</w:t>
            </w:r>
          </w:p>
          <w:p>
            <w:pPr>
              <w:bidi/>
              <w:autoSpaceDN w:val="0"/>
              <w:autoSpaceDE w:val="0"/>
              <w:widowControl/>
              <w:spacing w:line="240" w:lineRule="auto" w:before="296" w:after="228"/>
              <w:ind w:left="0" w:right="370" w:firstLine="0"/>
            </w:pPr>
            <w:r>
              <w:rPr>
                <w:rFonts w:ascii="Amiri" w:hAnsi="Amiri" w:eastAsia="Amiri"/>
                <w:b/>
                <w:i w:val="0"/>
                <w:color w:val="1F59A6"/>
                <w:sz w:val="24"/>
                <w:rtl/>
              </w:rPr>
              <w:t>ثالثا: جدول المراحل والدفعات المالية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0.0" w:type="dxa"/>
            </w:tblPr>
            <w:tblGrid>
              <w:gridCol w:w="10706"/>
            </w:tblGrid>
            <w:tr>
              <w:trPr>
                <w:trHeight w:hRule="exact" w:val="400"/>
              </w:trPr>
              <w:tc>
                <w:tcPr>
                  <w:tcW w:type="dxa" w:w="9906"/>
                  <w:tcBorders>
                    <w:start w:sz="16.0" w:val="single" w:color="#CCD8E5"/>
                    <w:top w:sz="16.0" w:val="single" w:color="#CCD8E5"/>
                    <w:end w:sz="16.0" w:val="single" w:color="#CCD8E5"/>
                    <w:bottom w:sz="16.0" w:val="single" w:color="#CCD8E5"/>
                  </w:tcBorders>
                  <w:shd w:fill="eaf2f9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0.0" w:type="dxa"/>
                  </w:tblPr>
                  <w:tblGrid>
                    <w:gridCol w:w="2476"/>
                    <w:gridCol w:w="2476"/>
                    <w:gridCol w:w="2476"/>
                    <w:gridCol w:w="2476"/>
                  </w:tblGrid>
                  <w:tr>
                    <w:trPr>
                      <w:trHeight w:hRule="exact" w:val="366"/>
                    </w:trPr>
                    <w:tc>
                      <w:tcPr>
                        <w:tcW w:type="dxa" w:w="1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1A3366"/>
                            <w:sz w:val="21"/>
                          </w:rPr>
                          <w:t>الدفعة المستحقة</w:t>
                        </w:r>
                      </w:p>
                    </w:tc>
                    <w:tc>
                      <w:tcPr>
                        <w:tcW w:type="dxa" w:w="2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490" w:right="0" w:firstLine="0"/>
                          <w:jc w:val="left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1A3366"/>
                            <w:sz w:val="21"/>
                          </w:rPr>
                          <w:t>المدة الزمنية</w:t>
                        </w:r>
                      </w:p>
                    </w:tc>
                    <w:tc>
                      <w:tcPr>
                        <w:tcW w:type="dxa" w:w="3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634" w:firstLine="0"/>
                          <w:jc w:val="right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1A3366"/>
                            <w:sz w:val="21"/>
                          </w:rPr>
                          <w:t>وصف المهام المنجزة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94" w:firstLine="0"/>
                          <w:jc w:val="right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1A3366"/>
                            <w:sz w:val="21"/>
                          </w:rPr>
                          <w:t>المرحلة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9906"/>
                  <w:tcBorders>
                    <w:start w:sz="16.0" w:val="single" w:color="#CCD8E5"/>
                    <w:top w:sz="16.0" w:val="single" w:color="#CCD8E5"/>
                    <w:end w:sz="16.0" w:val="single" w:color="#CCD8E5"/>
                    <w:bottom w:sz="16.0" w:val="single" w:color="#CCD8E5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0.0" w:type="dxa"/>
                  </w:tblPr>
                  <w:tblGrid>
                    <w:gridCol w:w="2476"/>
                    <w:gridCol w:w="2476"/>
                    <w:gridCol w:w="2476"/>
                    <w:gridCol w:w="2476"/>
                  </w:tblGrid>
                  <w:tr>
                    <w:trPr>
                      <w:trHeight w:hRule="exact" w:val="374"/>
                    </w:trPr>
                    <w:tc>
                      <w:tcPr>
                        <w:tcW w:type="dxa" w:w="2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614" w:firstLine="0"/>
                          <w:jc w:val="righ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 xml:space="preserve"> ريال25,000</w:t>
                        </w:r>
                      </w:p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574" w:firstLine="0"/>
                          <w:jc w:val="righ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>أسبوعان</w:t>
                        </w:r>
                      </w:p>
                    </w:tc>
                    <w:tc>
                      <w:tcPr>
                        <w:tcW w:type="dxa" w:w="4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578" w:right="0" w:firstLine="0"/>
                          <w:jc w:val="lef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>تحليل المتطلبات وتصميم الهيكل العام للبرنامج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94" w:firstLine="0"/>
                          <w:jc w:val="righ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>المرحلة األولى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9906"/>
                  <w:tcBorders>
                    <w:start w:sz="16.0" w:val="single" w:color="#CCD8E5"/>
                    <w:top w:sz="16.0" w:val="single" w:color="#CCD8E5"/>
                    <w:end w:sz="16.0" w:val="single" w:color="#CCD8E5"/>
                    <w:bottom w:sz="16.0" w:val="single" w:color="#CCD8E5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0.0" w:type="dxa"/>
                  </w:tblPr>
                  <w:tblGrid>
                    <w:gridCol w:w="3302"/>
                    <w:gridCol w:w="3302"/>
                    <w:gridCol w:w="3302"/>
                  </w:tblGrid>
                  <w:tr>
                    <w:trPr>
                      <w:trHeight w:hRule="exact" w:val="374"/>
                    </w:trPr>
                    <w:tc>
                      <w:tcPr>
                        <w:tcW w:type="dxa" w:w="3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 xml:space="preserve"> أسابيع4 ريال45,000</w:t>
                        </w:r>
                      </w:p>
                    </w:tc>
                    <w:tc>
                      <w:tcPr>
                        <w:tcW w:type="dxa" w:w="4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570" w:right="0" w:firstLine="0"/>
                          <w:jc w:val="lef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>تطوير واجهات المستخدم وربطها بنظام التشغيل</w:t>
                        </w:r>
                      </w:p>
                    </w:tc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94" w:firstLine="0"/>
                          <w:jc w:val="righ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>المرحلة الثانية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9906"/>
                  <w:tcBorders>
                    <w:start w:sz="16.0" w:val="single" w:color="#CCD8E5"/>
                    <w:top w:sz="16.0" w:val="single" w:color="#CCD8E5"/>
                    <w:end w:sz="16.0" w:val="single" w:color="#CCD8E5"/>
                    <w:bottom w:sz="16.0" w:val="single" w:color="#CCD8E5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0.0" w:type="dxa"/>
                  </w:tblPr>
                  <w:tblGrid>
                    <w:gridCol w:w="2476"/>
                    <w:gridCol w:w="2476"/>
                    <w:gridCol w:w="2476"/>
                    <w:gridCol w:w="2476"/>
                  </w:tblGrid>
                  <w:tr>
                    <w:trPr>
                      <w:trHeight w:hRule="exact" w:val="374"/>
                    </w:trPr>
                    <w:tc>
                      <w:tcPr>
                        <w:tcW w:type="dxa" w:w="2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614" w:firstLine="0"/>
                          <w:jc w:val="righ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 xml:space="preserve"> ريال30,000</w:t>
                        </w:r>
                      </w:p>
                    </w:tc>
                    <w:tc>
                      <w:tcPr>
                        <w:tcW w:type="dxa" w:w="1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>أسبوعان</w:t>
                        </w:r>
                      </w:p>
                    </w:tc>
                    <w:tc>
                      <w:tcPr>
                        <w:tcW w:type="dxa" w:w="4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616" w:right="0" w:firstLine="0"/>
                          <w:jc w:val="lef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>االختبارات الشاملة والتدريب والتشغيل الفعلي</w:t>
                        </w:r>
                      </w:p>
                    </w:tc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94" w:firstLine="0"/>
                          <w:jc w:val="right"/>
                        </w:pPr>
                        <w:r>
                          <w:rPr>
                            <w:rFonts w:ascii="Amiri" w:hAnsi="Amiri" w:eastAsia="Amiri"/>
                            <w:b w:val="0"/>
                            <w:i w:val="0"/>
                            <w:color w:val="262626"/>
                            <w:sz w:val="20"/>
                          </w:rPr>
                          <w:t>المرحلة الثالثة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bidi/>
              <w:autoSpaceDN w:val="0"/>
              <w:tabs>
                <w:tab w:pos="7684" w:val="left"/>
              </w:tabs>
              <w:autoSpaceDE w:val="0"/>
              <w:widowControl/>
              <w:spacing w:line="240" w:lineRule="auto" w:before="632" w:after="0"/>
              <w:ind w:left="1826" w:right="0" w:firstLine="0"/>
            </w:pPr>
            <w:r>
              <w:rPr>
                <w:rFonts w:ascii="Amiri" w:hAnsi="Amiri" w:eastAsia="Amiri"/>
                <w:b/>
                <w:i w:val="0"/>
                <w:color w:val="1A4080"/>
                <w:sz w:val="22"/>
                <w:rtl/>
              </w:rPr>
              <w:t>توقيع واعتماد الطرف الثاني</w:t>
            </w:r>
            <w:r>
              <w:tab/>
            </w:r>
            <w:r>
              <w:rPr>
                <w:rFonts w:ascii="Amiri" w:hAnsi="Amiri" w:eastAsia="Amiri"/>
                <w:b/>
                <w:i w:val="0"/>
                <w:color w:val="1A4080"/>
                <w:sz w:val="22"/>
                <w:rtl/>
              </w:rPr>
              <w:t>توقيع واعتماد الطرف الأول</w:t>
            </w:r>
          </w:p>
          <w:p>
            <w:pPr>
              <w:bidi/>
              <w:autoSpaceDN w:val="0"/>
              <w:tabs>
                <w:tab w:pos="7834" w:val="left"/>
              </w:tabs>
              <w:autoSpaceDE w:val="0"/>
              <w:widowControl/>
              <w:spacing w:line="240" w:lineRule="auto" w:before="136" w:after="0"/>
              <w:ind w:left="1666" w:right="0" w:firstLine="0"/>
            </w:pPr>
            <w:r>
              <w:rPr>
                <w:rFonts w:ascii="Amiri" w:hAnsi="Amiri" w:eastAsia="Amiri"/>
                <w:b w:val="0"/>
                <w:i w:val="0"/>
                <w:color w:val="666666"/>
                <w:sz w:val="20"/>
                <w:rtl/>
              </w:rPr>
              <w:t>المدير التنفيذي: أ. خالد المنصور</w:t>
            </w:r>
            <w:r>
              <w:tab/>
            </w:r>
            <w:r>
              <w:rPr>
                <w:rFonts w:ascii="Amiri" w:hAnsi="Amiri" w:eastAsia="Amiri"/>
                <w:b w:val="0"/>
                <w:i w:val="0"/>
                <w:color w:val="666666"/>
                <w:sz w:val="20"/>
                <w:rtl/>
              </w:rPr>
              <w:t>المدير العام: م. أحمد السعيد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4" w:right="550" w:bottom="284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