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0E6655"/>
          <w:sz w:val="60"/>
          <w:szCs w:val="60"/>
        </w:rPr>
        <w:t xml:space="preserve">AMC LOGISTICS</w:t>
      </w:r>
    </w:p>
    <w:p>
      <w:pPr>
        <w:spacing w:after="600"/>
        <w:jc w:val="center"/>
      </w:pPr>
      <w:r>
        <w:rPr>
          <w:rFonts w:ascii="Arial" w:cs="Arial" w:eastAsia="Arial" w:hAnsi="Arial"/>
          <w:color w:val="148F77"/>
          <w:sz w:val="40"/>
          <w:szCs w:val="40"/>
        </w:rPr>
        <w:t xml:space="preserve">Guide Fonctionnel</w:t>
      </w:r>
    </w:p>
    <w:p>
      <w:pPr>
        <w:pBdr>
          <w:top w:val="single" w:color="148F77" w:sz="6" w:space="1"/>
        </w:pBdr>
        <w:spacing w:after="300" w:before="100"/>
        <w:jc w:val="center"/>
      </w:pPr>
    </w:p>
    <w:p>
      <w:pPr>
        <w:spacing w:after="80"/>
        <w:jc w:val="center"/>
      </w:pPr>
      <w:r>
        <w:rPr>
          <w:rFonts w:ascii="Arial" w:cs="Arial" w:eastAsia="Arial" w:hAnsi="Arial"/>
          <w:color w:val="5D6D7E"/>
          <w:sz w:val="24"/>
          <w:szCs w:val="24"/>
        </w:rPr>
        <w:t xml:space="preserve">Plateforme de suivi opérationnel</w:t>
      </w:r>
    </w:p>
    <w:p>
      <w:pPr>
        <w:spacing w:after="80"/>
        <w:jc w:val="center"/>
      </w:pPr>
      <w:r>
        <w:rPr>
          <w:rFonts w:ascii="Arial" w:cs="Arial" w:eastAsia="Arial" w:hAnsi="Arial"/>
          <w:color w:val="5D6D7E"/>
          <w:sz w:val="22"/>
          <w:szCs w:val="22"/>
        </w:rPr>
        <w:t xml:space="preserve">Flotte • Transport de basalte • Maintenance • Sécurité</w:t>
      </w:r>
    </w:p>
    <w:p>
      <w:pPr>
        <w:spacing w:after="500"/>
        <w:jc w:val="center"/>
      </w:pPr>
      <w:r>
        <w:rPr>
          <w:rFonts w:ascii="Arial" w:cs="Arial" w:eastAsia="Arial" w:hAnsi="Arial"/>
          <w:color w:val="5D6D7E"/>
          <w:sz w:val="22"/>
          <w:szCs w:val="22"/>
        </w:rPr>
        <w:t xml:space="preserve">AMC Travaux — Sénégal / Mauritanie</w:t>
      </w:r>
    </w:p>
    <w:p>
      <w:pPr>
        <w:spacing w:after="60"/>
        <w:jc w:val="center"/>
      </w:pPr>
      <w:r>
        <w:rPr>
          <w:rFonts w:ascii="Arial" w:cs="Arial" w:eastAsia="Arial" w:hAnsi="Arial"/>
          <w:color w:val="5D6D7E"/>
          <w:sz w:val="20"/>
          <w:szCs w:val="20"/>
        </w:rPr>
        <w:t xml:space="preserve">Version 1.0 — Avril 2026</w:t>
      </w:r>
    </w:p>
    <w:p>
      <w:pPr>
        <w:jc w:val="center"/>
      </w:pPr>
      <w:r>
        <w:rPr>
          <w:rFonts w:ascii="Arial" w:cs="Arial" w:eastAsia="Arial" w:hAnsi="Arial"/>
          <w:i/>
          <w:iCs/>
          <w:color w:val="5D6D7E"/>
          <w:sz w:val="18"/>
          <w:szCs w:val="18"/>
        </w:rPr>
        <w:t xml:space="preserve">Document destiné aux responsables et opérationnels</w:t>
      </w:r>
    </w:p>
    <w:p>
      <w:pPr>
        <w:sectPr>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0E6655"/>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0E6655"/>
          <w:sz w:val="32"/>
          <w:szCs w:val="32"/>
        </w:rPr>
        <w:t xml:space="preserve">1. Présentation</w:t>
      </w:r>
    </w:p>
    <w:p>
      <w:pPr>
        <w:spacing w:after="140"/>
        <w:jc w:val="both"/>
      </w:pPr>
      <w:r>
        <w:rPr>
          <w:rFonts w:ascii="Arial" w:cs="Arial" w:eastAsia="Arial" w:hAnsi="Arial"/>
          <w:color w:val="1C2833"/>
          <w:sz w:val="22"/>
          <w:szCs w:val="22"/>
        </w:rPr>
        <w:t xml:space="preserve">AMC Logistics est la plateforme de suivi opérationnel d’AMC Travaux. Elle a été conçue pour répondre aux défis quotidiens du transport de basalte entre le Sénégal et la Mauritanie : traçabilité des rotations, suivi des camions en temps réel, maintenance préventive et protection contre les pertes.</w:t>
      </w:r>
    </w:p>
    <w:p>
      <w:pPr>
        <w:spacing w:after="80"/>
      </w:pPr>
    </w:p>
    <w:p>
      <w:pPr>
        <w:pStyle w:val="Heading2"/>
        <w:spacing w:after="160" w:before="300"/>
      </w:pPr>
      <w:r>
        <w:rPr>
          <w:rFonts w:ascii="Arial" w:cs="Arial" w:eastAsia="Arial" w:hAnsi="Arial"/>
          <w:b/>
          <w:bCs/>
          <w:color w:val="148F77"/>
          <w:sz w:val="26"/>
          <w:szCs w:val="26"/>
        </w:rPr>
        <w:t xml:space="preserve">1.1 Ce que la plateforme vous apporte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Avantage</w:t>
            </w:r>
          </w:p>
        </w:tc>
        <w:tc>
          <w:tcPr>
            <w:tcW w:type="dxa" w:w="6026"/>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Détail</w:t>
            </w:r>
          </w:p>
        </w:tc>
      </w:tr>
      <w:tr>
        <w:tc>
          <w:tcPr>
            <w:tcW w:type="dxa" w:w="30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Visibilité complète</w:t>
            </w:r>
          </w:p>
        </w:tc>
        <w:tc>
          <w:tcPr>
            <w:tcW w:type="dxa" w:w="60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Position, vitesse, carburant et état de chaque camion accessible en un clic, 24h/24.</w:t>
            </w:r>
          </w:p>
        </w:tc>
      </w:tr>
      <w:tr>
        <w:tc>
          <w:tcPr>
            <w:tcW w:type="dxa" w:w="30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Réduction des pertes</w:t>
            </w:r>
          </w:p>
        </w:tc>
        <w:tc>
          <w:tcPr>
            <w:tcW w:type="dxa" w:w="60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Détection automatique du vol de carburant, des écarts de poids et des arrêts suspects.</w:t>
            </w:r>
          </w:p>
        </w:tc>
      </w:tr>
      <w:tr>
        <w:tc>
          <w:tcPr>
            <w:tcW w:type="dxa" w:w="30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Maintenance anticipée</w:t>
            </w:r>
          </w:p>
        </w:tc>
        <w:tc>
          <w:tcPr>
            <w:tcW w:type="dxa" w:w="60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Alertes automatiques avant que la panne ne survienne. Moins d’immobilisations imprévues.</w:t>
            </w:r>
          </w:p>
        </w:tc>
      </w:tr>
      <w:tr>
        <w:tc>
          <w:tcPr>
            <w:tcW w:type="dxa" w:w="30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Gain de temps</w:t>
            </w:r>
          </w:p>
        </w:tc>
        <w:tc>
          <w:tcPr>
            <w:tcW w:type="dxa" w:w="60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Import Excel, exports en un clic, validation rapide des rotations. Moins de saisie manuelle.</w:t>
            </w:r>
          </w:p>
        </w:tc>
      </w:tr>
      <w:tr>
        <w:tc>
          <w:tcPr>
            <w:tcW w:type="dxa" w:w="30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Traçabilité complète</w:t>
            </w:r>
          </w:p>
        </w:tc>
        <w:tc>
          <w:tcPr>
            <w:tcW w:type="dxa" w:w="60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Chaque rotation, chaque arrêt, chaque litre de carburant est enregistré et consultable.</w:t>
            </w:r>
          </w:p>
        </w:tc>
      </w:tr>
      <w:tr>
        <w:tc>
          <w:tcPr>
            <w:tcW w:type="dxa" w:w="30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Décisions fondées sur les données</w:t>
            </w:r>
          </w:p>
        </w:tc>
        <w:tc>
          <w:tcPr>
            <w:tcW w:type="dxa" w:w="60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Historiques, tendances et rapports exportés pour une gestion factuelle.</w:t>
            </w:r>
          </w:p>
        </w:tc>
      </w:tr>
    </w:tbl>
    <w:p>
      <w:r>
        <w:br w:type="page"/>
      </w:r>
    </w:p>
    <w:p>
      <w:pPr>
        <w:pStyle w:val="Heading1"/>
        <w:spacing w:after="200" w:before="400"/>
      </w:pPr>
      <w:r>
        <w:rPr>
          <w:rFonts w:ascii="Arial" w:cs="Arial" w:eastAsia="Arial" w:hAnsi="Arial"/>
          <w:b/>
          <w:bCs/>
          <w:color w:val="0E6655"/>
          <w:sz w:val="32"/>
          <w:szCs w:val="32"/>
        </w:rPr>
        <w:t xml:space="preserve">2. Accès et Rôles</w:t>
      </w:r>
    </w:p>
    <w:p>
      <w:pPr>
        <w:spacing w:after="140"/>
        <w:jc w:val="both"/>
      </w:pPr>
      <w:r>
        <w:rPr>
          <w:rFonts w:ascii="Arial" w:cs="Arial" w:eastAsia="Arial" w:hAnsi="Arial"/>
          <w:color w:val="1C2833"/>
          <w:sz w:val="22"/>
          <w:szCs w:val="22"/>
        </w:rPr>
        <w:t xml:space="preserve">L’application possède quatre profils d’utilisateur. Chaque profil ne voit que les fonctionnalités qui le concernent.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Profil</w:t>
            </w:r>
          </w:p>
        </w:tc>
        <w:tc>
          <w:tcPr>
            <w:tcW w:type="dxa" w:w="6526"/>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Accès</w:t>
            </w:r>
          </w:p>
        </w:tc>
      </w:tr>
      <w:tr>
        <w:tc>
          <w:tcPr>
            <w:tcW w:type="dxa" w:w="2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Directeur (Super Admin)</w:t>
            </w:r>
          </w:p>
        </w:tc>
        <w:tc>
          <w:tcPr>
            <w:tcW w:type="dxa" w:w="65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Accès complet : utilisateurs, rôles, paramètres, tous les modules.</w:t>
            </w:r>
          </w:p>
        </w:tc>
      </w:tr>
      <w:tr>
        <w:tc>
          <w:tcPr>
            <w:tcW w:type="dxa" w:w="25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Administrateur</w:t>
            </w:r>
          </w:p>
        </w:tc>
        <w:tc>
          <w:tcPr>
            <w:tcW w:type="dxa" w:w="65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Opérations quotidiennes : camions, conducteurs, transporteurs, rotations, rapports.</w:t>
            </w:r>
          </w:p>
        </w:tc>
      </w:tr>
      <w:tr>
        <w:tc>
          <w:tcPr>
            <w:tcW w:type="dxa" w:w="2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Manager Logistique</w:t>
            </w:r>
          </w:p>
        </w:tc>
        <w:tc>
          <w:tcPr>
            <w:tcW w:type="dxa" w:w="65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Validation des rotations, examen des incidents de vol, suivi maintenance, cartographie.</w:t>
            </w:r>
          </w:p>
        </w:tc>
      </w:tr>
      <w:tr>
        <w:tc>
          <w:tcPr>
            <w:tcW w:type="dxa" w:w="25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Conducteur</w:t>
            </w:r>
          </w:p>
        </w:tc>
        <w:tc>
          <w:tcPr>
            <w:tcW w:type="dxa" w:w="65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Son espace personnel : checklist quotidien, historique de ses voyages, fiche de son camion.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BABB" w:sz="1"/>
              <w:left w:val="single" w:color="0E6655" w:sz="8"/>
              <w:bottom w:val="single" w:color="B2BABB" w:sz="1"/>
              <w:right w:val="single" w:color="B2BABB" w:sz="1"/>
            </w:tcBorders>
            <w:shd w:fill="E8F6F3" w:val="clear"/>
            <w:tcMar>
              <w:top w:type="dxa" w:w="100"/>
              <w:left w:type="dxa" w:w="200"/>
              <w:bottom w:type="dxa" w:w="100"/>
              <w:right w:type="dxa" w:w="200"/>
            </w:tcMar>
          </w:tcPr>
          <w:p>
            <w:pPr>
              <w:spacing w:after="60"/>
            </w:pPr>
            <w:r>
              <w:rPr>
                <w:rFonts w:ascii="Arial" w:cs="Arial" w:eastAsia="Arial" w:hAnsi="Arial"/>
                <w:b/>
                <w:bCs/>
                <w:color w:val="0E6655"/>
                <w:sz w:val="21"/>
                <w:szCs w:val="21"/>
              </w:rPr>
              <w:t xml:space="preserve">Première connexion</w:t>
            </w:r>
          </w:p>
          <w:p>
            <w:r>
              <w:rPr>
                <w:rFonts w:ascii="Arial" w:cs="Arial" w:eastAsia="Arial" w:hAnsi="Arial"/>
                <w:color w:val="1C2833"/>
                <w:sz w:val="20"/>
                <w:szCs w:val="20"/>
              </w:rPr>
              <w:t xml:space="preserve">Quand un compte est créé par un administrateur, le système attribue un mot de passe temporaire. À la première connexion, l’utilisateur est automatiquement redirigé vers un formulaire de changement de mot de passe. Il ne peut accéder à aucune autre page tant que son mot de passe n’a pas été changé.</w:t>
            </w:r>
          </w:p>
        </w:tc>
      </w:tr>
    </w:tbl>
    <w:p>
      <w:r>
        <w:br w:type="page"/>
      </w:r>
    </w:p>
    <w:p>
      <w:pPr>
        <w:pStyle w:val="Heading1"/>
        <w:spacing w:after="200" w:before="400"/>
      </w:pPr>
      <w:r>
        <w:rPr>
          <w:rFonts w:ascii="Arial" w:cs="Arial" w:eastAsia="Arial" w:hAnsi="Arial"/>
          <w:b/>
          <w:bCs/>
          <w:color w:val="0E6655"/>
          <w:sz w:val="32"/>
          <w:szCs w:val="32"/>
        </w:rPr>
        <w:t xml:space="preserve">3. Tableau de bord</w:t>
      </w:r>
    </w:p>
    <w:p>
      <w:pPr>
        <w:spacing w:after="140"/>
        <w:jc w:val="both"/>
      </w:pPr>
      <w:r>
        <w:rPr>
          <w:rFonts w:ascii="Arial" w:cs="Arial" w:eastAsia="Arial" w:hAnsi="Arial"/>
          <w:color w:val="1C2833"/>
          <w:sz w:val="22"/>
          <w:szCs w:val="22"/>
        </w:rPr>
        <w:t xml:space="preserve">Le tableau de bord est la page d’accueil après connexion. Il offre une vue d’ensemble de l’état opérationnel en quatre indicateurs clés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Indicateur</w:t>
            </w:r>
          </w:p>
        </w:tc>
        <w:tc>
          <w:tcPr>
            <w:tcW w:type="dxa" w:w="6526"/>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Signification</w:t>
            </w:r>
          </w:p>
        </w:tc>
      </w:tr>
      <w:tr>
        <w:tc>
          <w:tcPr>
            <w:tcW w:type="dxa" w:w="2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Maintenance urgente</w:t>
            </w:r>
          </w:p>
        </w:tc>
        <w:tc>
          <w:tcPr>
            <w:tcW w:type="dxa" w:w="65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Nombre de camions dont la maintenance est en retard (code rouge). Action immédiate requise.</w:t>
            </w:r>
          </w:p>
        </w:tc>
      </w:tr>
      <w:tr>
        <w:tc>
          <w:tcPr>
            <w:tcW w:type="dxa" w:w="25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Rotations à valider</w:t>
            </w:r>
          </w:p>
        </w:tc>
        <w:tc>
          <w:tcPr>
            <w:tcW w:type="dxa" w:w="65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Nombre de rotations de transport en attente de validation par le Manager.</w:t>
            </w:r>
          </w:p>
        </w:tc>
      </w:tr>
      <w:tr>
        <w:tc>
          <w:tcPr>
            <w:tcW w:type="dxa" w:w="2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Problèmes ouverts</w:t>
            </w:r>
          </w:p>
        </w:tc>
        <w:tc>
          <w:tcPr>
            <w:tcW w:type="dxa" w:w="65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Problèmes signalés dans les checklists quotidiens des conducteurs, non encore résolus.</w:t>
            </w:r>
          </w:p>
        </w:tc>
      </w:tr>
      <w:tr>
        <w:tc>
          <w:tcPr>
            <w:tcW w:type="dxa" w:w="25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Alertes actives</w:t>
            </w:r>
          </w:p>
        </w:tc>
        <w:tc>
          <w:tcPr>
            <w:tcW w:type="dxa" w:w="65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Alertes système : maintenance due, checklists manquants, incidents de vol détectés.</w:t>
            </w:r>
          </w:p>
        </w:tc>
      </w:tr>
    </w:tbl>
    <w:p>
      <w:pPr>
        <w:spacing w:after="80"/>
      </w:pPr>
    </w:p>
    <w:p>
      <w:pPr>
        <w:spacing w:after="140"/>
        <w:jc w:val="both"/>
      </w:pPr>
      <w:r>
        <w:rPr>
          <w:rFonts w:ascii="Arial" w:cs="Arial" w:eastAsia="Arial" w:hAnsi="Arial"/>
          <w:color w:val="1C2833"/>
          <w:sz w:val="22"/>
          <w:szCs w:val="22"/>
        </w:rPr>
        <w:t xml:space="preserve">Les données du tableau de bord se rafraîchissent automatiquement toutes les 30 secondes sans recharger la page.</w:t>
      </w:r>
    </w:p>
    <w:p>
      <w:r>
        <w:br w:type="page"/>
      </w:r>
    </w:p>
    <w:p>
      <w:pPr>
        <w:pStyle w:val="Heading1"/>
        <w:spacing w:after="200" w:before="400"/>
      </w:pPr>
      <w:r>
        <w:rPr>
          <w:rFonts w:ascii="Arial" w:cs="Arial" w:eastAsia="Arial" w:hAnsi="Arial"/>
          <w:b/>
          <w:bCs/>
          <w:color w:val="0E6655"/>
          <w:sz w:val="32"/>
          <w:szCs w:val="32"/>
        </w:rPr>
        <w:t xml:space="preserve">4. Suivi des Rotations de Transport</w:t>
      </w:r>
    </w:p>
    <w:p>
      <w:pPr>
        <w:spacing w:after="140"/>
        <w:jc w:val="both"/>
      </w:pPr>
      <w:r>
        <w:rPr>
          <w:rFonts w:ascii="Arial" w:cs="Arial" w:eastAsia="Arial" w:hAnsi="Arial"/>
          <w:color w:val="1C2833"/>
          <w:sz w:val="22"/>
          <w:szCs w:val="22"/>
        </w:rPr>
        <w:t xml:space="preserve">Une rotation correspond à un aller-retour entre la carrière (fournisseur) et le site client. C’est l’unité de base du suivi de transport.</w:t>
      </w:r>
    </w:p>
    <w:p>
      <w:pPr>
        <w:spacing w:after="80"/>
      </w:pPr>
    </w:p>
    <w:p>
      <w:pPr>
        <w:pStyle w:val="Heading2"/>
        <w:spacing w:after="160" w:before="300"/>
      </w:pPr>
      <w:r>
        <w:rPr>
          <w:rFonts w:ascii="Arial" w:cs="Arial" w:eastAsia="Arial" w:hAnsi="Arial"/>
          <w:b/>
          <w:bCs/>
          <w:color w:val="148F77"/>
          <w:sz w:val="26"/>
          <w:szCs w:val="26"/>
        </w:rPr>
        <w:t xml:space="preserve">4.1 Créer une rotation</w:t>
      </w:r>
    </w:p>
    <w:p>
      <w:pPr>
        <w:pStyle w:val="ListParagraph"/>
        <w:numPr>
          <w:ilvl w:val="0"/>
          <w:numId w:val="2"/>
        </w:numPr>
        <w:spacing w:after="80"/>
      </w:pPr>
      <w:r>
        <w:rPr>
          <w:rFonts w:ascii="Arial" w:cs="Arial" w:eastAsia="Arial" w:hAnsi="Arial"/>
          <w:b/>
          <w:bCs/>
          <w:color w:val="1C2833"/>
          <w:sz w:val="22"/>
          <w:szCs w:val="22"/>
        </w:rPr>
        <w:t xml:space="preserve">Sélectionner le camion </w:t>
      </w:r>
      <w:r>
        <w:rPr>
          <w:rFonts w:ascii="Arial" w:cs="Arial" w:eastAsia="Arial" w:hAnsi="Arial"/>
          <w:color w:val="1C2833"/>
          <w:sz w:val="22"/>
          <w:szCs w:val="22"/>
        </w:rPr>
        <w:t xml:space="preserve">dans la liste déroulante (ou saisir un nouveau matricule — il sera créé automatiquement).</w:t>
      </w:r>
    </w:p>
    <w:p>
      <w:pPr>
        <w:pStyle w:val="ListParagraph"/>
        <w:numPr>
          <w:ilvl w:val="0"/>
          <w:numId w:val="2"/>
        </w:numPr>
        <w:spacing w:after="80"/>
      </w:pPr>
      <w:r>
        <w:rPr>
          <w:rFonts w:ascii="Arial" w:cs="Arial" w:eastAsia="Arial" w:hAnsi="Arial"/>
          <w:b/>
          <w:bCs/>
          <w:color w:val="1C2833"/>
          <w:sz w:val="22"/>
          <w:szCs w:val="22"/>
        </w:rPr>
        <w:t xml:space="preserve">Sélectionner le conducteur </w:t>
      </w:r>
      <w:r>
        <w:rPr>
          <w:rFonts w:ascii="Arial" w:cs="Arial" w:eastAsia="Arial" w:hAnsi="Arial"/>
          <w:color w:val="1C2833"/>
          <w:sz w:val="22"/>
          <w:szCs w:val="22"/>
        </w:rPr>
        <w:t xml:space="preserve">dans la liste déroulante (ou saisir un nouveau nom).</w:t>
      </w:r>
    </w:p>
    <w:p>
      <w:pPr>
        <w:pStyle w:val="ListParagraph"/>
        <w:numPr>
          <w:ilvl w:val="0"/>
          <w:numId w:val="2"/>
        </w:numPr>
        <w:spacing w:after="80"/>
      </w:pPr>
      <w:r>
        <w:rPr>
          <w:rFonts w:ascii="Arial" w:cs="Arial" w:eastAsia="Arial" w:hAnsi="Arial"/>
          <w:b/>
          <w:bCs/>
          <w:color w:val="1C2833"/>
          <w:sz w:val="22"/>
          <w:szCs w:val="22"/>
        </w:rPr>
        <w:t xml:space="preserve">Choisir le fournisseur, </w:t>
      </w:r>
      <w:r>
        <w:rPr>
          <w:rFonts w:ascii="Arial" w:cs="Arial" w:eastAsia="Arial" w:hAnsi="Arial"/>
          <w:color w:val="1C2833"/>
          <w:sz w:val="22"/>
          <w:szCs w:val="22"/>
        </w:rPr>
        <w:t xml:space="preserve">le produit (0/3, 3/8 ou 8/16) et la base (Mauritanie ou Sénégal).</w:t>
      </w:r>
    </w:p>
    <w:p>
      <w:pPr>
        <w:pStyle w:val="ListParagraph"/>
        <w:numPr>
          <w:ilvl w:val="0"/>
          <w:numId w:val="2"/>
        </w:numPr>
        <w:spacing w:after="80"/>
      </w:pPr>
      <w:r>
        <w:rPr>
          <w:rFonts w:ascii="Arial" w:cs="Arial" w:eastAsia="Arial" w:hAnsi="Arial"/>
          <w:b/>
          <w:bCs/>
          <w:color w:val="1C2833"/>
          <w:sz w:val="22"/>
          <w:szCs w:val="22"/>
        </w:rPr>
        <w:t xml:space="preserve">Saisir les pesées fournisseur : </w:t>
      </w:r>
      <w:r>
        <w:rPr>
          <w:rFonts w:ascii="Arial" w:cs="Arial" w:eastAsia="Arial" w:hAnsi="Arial"/>
          <w:color w:val="1C2833"/>
          <w:sz w:val="22"/>
          <w:szCs w:val="22"/>
        </w:rPr>
        <w:t xml:space="preserve">poids brut, tare et net (en kg).</w:t>
      </w:r>
    </w:p>
    <w:p>
      <w:pPr>
        <w:pStyle w:val="ListParagraph"/>
        <w:numPr>
          <w:ilvl w:val="0"/>
          <w:numId w:val="2"/>
        </w:numPr>
        <w:spacing w:after="80"/>
      </w:pPr>
      <w:r>
        <w:rPr>
          <w:rFonts w:ascii="Arial" w:cs="Arial" w:eastAsia="Arial" w:hAnsi="Arial"/>
          <w:b/>
          <w:bCs/>
          <w:color w:val="1C2833"/>
          <w:sz w:val="22"/>
          <w:szCs w:val="22"/>
        </w:rPr>
        <w:t xml:space="preserve">Saisir les pesées client : </w:t>
      </w:r>
      <w:r>
        <w:rPr>
          <w:rFonts w:ascii="Arial" w:cs="Arial" w:eastAsia="Arial" w:hAnsi="Arial"/>
          <w:color w:val="1C2833"/>
          <w:sz w:val="22"/>
          <w:szCs w:val="22"/>
        </w:rPr>
        <w:t xml:space="preserve">poids brut, tare et net (en kg).</w:t>
      </w:r>
    </w:p>
    <w:p>
      <w:pPr>
        <w:pStyle w:val="ListParagraph"/>
        <w:numPr>
          <w:ilvl w:val="0"/>
          <w:numId w:val="2"/>
        </w:numPr>
        <w:spacing w:after="80"/>
      </w:pPr>
      <w:r>
        <w:rPr>
          <w:rFonts w:ascii="Arial" w:cs="Arial" w:eastAsia="Arial" w:hAnsi="Arial"/>
          <w:b/>
          <w:bCs/>
          <w:color w:val="1C2833"/>
          <w:sz w:val="22"/>
          <w:szCs w:val="22"/>
        </w:rPr>
        <w:t xml:space="preserve">Joindre les documents </w:t>
      </w:r>
      <w:r>
        <w:rPr>
          <w:rFonts w:ascii="Arial" w:cs="Arial" w:eastAsia="Arial" w:hAnsi="Arial"/>
          <w:color w:val="1C2833"/>
          <w:sz w:val="22"/>
          <w:szCs w:val="22"/>
        </w:rPr>
        <w:t xml:space="preserve">(tickets de pesée scannés, photos) si disponibles.</w:t>
      </w:r>
    </w:p>
    <w:p>
      <w:pPr>
        <w:pStyle w:val="ListParagraph"/>
        <w:numPr>
          <w:ilvl w:val="0"/>
          <w:numId w:val="2"/>
        </w:numPr>
        <w:spacing w:after="80"/>
      </w:pPr>
      <w:r>
        <w:rPr>
          <w:rFonts w:ascii="Arial" w:cs="Arial" w:eastAsia="Arial" w:hAnsi="Arial"/>
          <w:b/>
          <w:bCs/>
          <w:color w:val="1C2833"/>
          <w:sz w:val="22"/>
          <w:szCs w:val="22"/>
        </w:rPr>
        <w:t xml:space="preserve">Enregistrer. </w:t>
      </w:r>
      <w:r>
        <w:rPr>
          <w:rFonts w:ascii="Arial" w:cs="Arial" w:eastAsia="Arial" w:hAnsi="Arial"/>
          <w:color w:val="1C2833"/>
          <w:sz w:val="22"/>
          <w:szCs w:val="22"/>
        </w:rPr>
        <w:t xml:space="preserve">Le système calcule automatiquement l’écart de poids.</w:t>
      </w:r>
    </w:p>
    <w:p>
      <w:pPr>
        <w:spacing w:after="80"/>
      </w:pPr>
    </w:p>
    <w:p>
      <w:pPr>
        <w:pStyle w:val="Heading2"/>
        <w:spacing w:after="160" w:before="300"/>
      </w:pPr>
      <w:r>
        <w:rPr>
          <w:rFonts w:ascii="Arial" w:cs="Arial" w:eastAsia="Arial" w:hAnsi="Arial"/>
          <w:b/>
          <w:bCs/>
          <w:color w:val="148F77"/>
          <w:sz w:val="26"/>
          <w:szCs w:val="26"/>
        </w:rPr>
        <w:t xml:space="preserve">4.2 Écart de poids</w:t>
      </w:r>
    </w:p>
    <w:p>
      <w:pPr>
        <w:spacing w:after="140"/>
        <w:jc w:val="both"/>
      </w:pPr>
      <w:r>
        <w:rPr>
          <w:rFonts w:ascii="Arial" w:cs="Arial" w:eastAsia="Arial" w:hAnsi="Arial"/>
          <w:color w:val="1C2833"/>
          <w:sz w:val="22"/>
          <w:szCs w:val="22"/>
        </w:rPr>
        <w:t xml:space="preserve">L’écart (gap) est la différence entre le poids net du client et celui du fournisseur. Un écart négatif important signifie que de la cargaison a été perdue en route — potentiellement volée.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BABB" w:sz="1"/>
              <w:left w:val="single" w:color="0E6655" w:sz="8"/>
              <w:bottom w:val="single" w:color="B2BABB" w:sz="1"/>
              <w:right w:val="single" w:color="B2BABB" w:sz="1"/>
            </w:tcBorders>
            <w:shd w:fill="FDEBD0" w:val="clear"/>
            <w:tcMar>
              <w:top w:type="dxa" w:w="100"/>
              <w:left w:type="dxa" w:w="200"/>
              <w:bottom w:type="dxa" w:w="100"/>
              <w:right w:type="dxa" w:w="200"/>
            </w:tcMar>
          </w:tcPr>
          <w:p>
            <w:pPr>
              <w:spacing w:after="60"/>
            </w:pPr>
            <w:r>
              <w:rPr>
                <w:rFonts w:ascii="Arial" w:cs="Arial" w:eastAsia="Arial" w:hAnsi="Arial"/>
                <w:b/>
                <w:bCs/>
                <w:color w:val="0E6655"/>
                <w:sz w:val="21"/>
                <w:szCs w:val="21"/>
              </w:rPr>
              <w:t xml:space="preserve">Seuil d’alerte</w:t>
            </w:r>
          </w:p>
          <w:p>
            <w:r>
              <w:rPr>
                <w:rFonts w:ascii="Arial" w:cs="Arial" w:eastAsia="Arial" w:hAnsi="Arial"/>
                <w:color w:val="1C2833"/>
                <w:sz w:val="20"/>
                <w:szCs w:val="20"/>
              </w:rPr>
              <w:t xml:space="preserve">Si l’écart dépasse 300 kg (configurable), le système génère automatiquement un incident de vol de type « Écart de poids ». Le Manager sera alerté.</w:t>
            </w:r>
          </w:p>
        </w:tc>
      </w:tr>
    </w:tbl>
    <w:p>
      <w:pPr>
        <w:spacing w:after="80"/>
      </w:pPr>
    </w:p>
    <w:p>
      <w:pPr>
        <w:pStyle w:val="Heading2"/>
        <w:spacing w:after="160" w:before="300"/>
      </w:pPr>
      <w:r>
        <w:rPr>
          <w:rFonts w:ascii="Arial" w:cs="Arial" w:eastAsia="Arial" w:hAnsi="Arial"/>
          <w:b/>
          <w:bCs/>
          <w:color w:val="148F77"/>
          <w:sz w:val="26"/>
          <w:szCs w:val="26"/>
        </w:rPr>
        <w:t xml:space="preserve">4.3 Validation et verrouillage</w:t>
      </w:r>
    </w:p>
    <w:p>
      <w:pPr>
        <w:spacing w:after="140"/>
        <w:jc w:val="both"/>
      </w:pPr>
      <w:r>
        <w:rPr>
          <w:rFonts w:ascii="Arial" w:cs="Arial" w:eastAsia="Arial" w:hAnsi="Arial"/>
          <w:color w:val="1C2833"/>
          <w:sz w:val="22"/>
          <w:szCs w:val="22"/>
        </w:rPr>
        <w:t xml:space="preserve">Le Manager logistique valide chaque rotation après vérification. Une fois validée, la rotation est définitivement verrouillée : aucune donnée ne peut être modifiée. Cela garantit l’intégrité des données pour les audits et analyses.</w:t>
      </w:r>
    </w:p>
    <w:p>
      <w:pPr>
        <w:spacing w:after="80"/>
      </w:pPr>
    </w:p>
    <w:p>
      <w:pPr>
        <w:pStyle w:val="Heading2"/>
        <w:spacing w:after="160" w:before="300"/>
      </w:pPr>
      <w:r>
        <w:rPr>
          <w:rFonts w:ascii="Arial" w:cs="Arial" w:eastAsia="Arial" w:hAnsi="Arial"/>
          <w:b/>
          <w:bCs/>
          <w:color w:val="148F77"/>
          <w:sz w:val="26"/>
          <w:szCs w:val="26"/>
        </w:rPr>
        <w:t xml:space="preserve">4.4 Import en masse</w:t>
      </w:r>
    </w:p>
    <w:p>
      <w:pPr>
        <w:spacing w:after="140"/>
        <w:jc w:val="both"/>
      </w:pPr>
      <w:r>
        <w:rPr>
          <w:rFonts w:ascii="Arial" w:cs="Arial" w:eastAsia="Arial" w:hAnsi="Arial"/>
          <w:color w:val="1C2833"/>
          <w:sz w:val="22"/>
          <w:szCs w:val="22"/>
        </w:rPr>
        <w:t xml:space="preserve">Pour saisir rapidement un grand nombre de rotations, utilisez la fonction d’import Excel. Préparez un fichier .xlsx avec les colonnes requises (matricule, conducteur, produit, base, dates, poids). Le système déduplique automatiquement et crée les camions/conducteurs inconnus.</w:t>
      </w:r>
    </w:p>
    <w:p>
      <w:pPr>
        <w:spacing w:after="80"/>
      </w:pPr>
    </w:p>
    <w:p>
      <w:pPr>
        <w:pStyle w:val="Heading2"/>
        <w:spacing w:after="160" w:before="300"/>
      </w:pPr>
      <w:r>
        <w:rPr>
          <w:rFonts w:ascii="Arial" w:cs="Arial" w:eastAsia="Arial" w:hAnsi="Arial"/>
          <w:b/>
          <w:bCs/>
          <w:color w:val="148F77"/>
          <w:sz w:val="26"/>
          <w:szCs w:val="26"/>
        </w:rPr>
        <w:t xml:space="preserve">4.5 Export</w:t>
      </w:r>
    </w:p>
    <w:p>
      <w:pPr>
        <w:spacing w:after="140"/>
        <w:jc w:val="both"/>
      </w:pPr>
      <w:r>
        <w:rPr>
          <w:rFonts w:ascii="Arial" w:cs="Arial" w:eastAsia="Arial" w:hAnsi="Arial"/>
          <w:color w:val="1C2833"/>
          <w:sz w:val="22"/>
          <w:szCs w:val="22"/>
        </w:rPr>
        <w:t xml:space="preserve">Chaque tableau possède un bouton vert « Excel ». Il exporte les données affichées (filtres inclus) vers un fichier CSV compatible avec Excel en français (accents, séparateur point-virgule).</w:t>
      </w:r>
    </w:p>
    <w:p>
      <w:r>
        <w:br w:type="page"/>
      </w:r>
    </w:p>
    <w:p>
      <w:pPr>
        <w:pStyle w:val="Heading1"/>
        <w:spacing w:after="200" w:before="400"/>
      </w:pPr>
      <w:r>
        <w:rPr>
          <w:rFonts w:ascii="Arial" w:cs="Arial" w:eastAsia="Arial" w:hAnsi="Arial"/>
          <w:b/>
          <w:bCs/>
          <w:color w:val="0E6655"/>
          <w:sz w:val="32"/>
          <w:szCs w:val="32"/>
        </w:rPr>
        <w:t xml:space="preserve">5. Gestion de la Flotte</w:t>
      </w:r>
    </w:p>
    <w:p>
      <w:pPr>
        <w:pStyle w:val="Heading2"/>
        <w:spacing w:after="160" w:before="300"/>
      </w:pPr>
      <w:r>
        <w:rPr>
          <w:rFonts w:ascii="Arial" w:cs="Arial" w:eastAsia="Arial" w:hAnsi="Arial"/>
          <w:b/>
          <w:bCs/>
          <w:color w:val="148F77"/>
          <w:sz w:val="26"/>
          <w:szCs w:val="26"/>
        </w:rPr>
        <w:t xml:space="preserve">5.1 Liste des camions</w:t>
      </w:r>
    </w:p>
    <w:p>
      <w:pPr>
        <w:spacing w:after="140"/>
        <w:jc w:val="both"/>
      </w:pPr>
      <w:r>
        <w:rPr>
          <w:rFonts w:ascii="Arial" w:cs="Arial" w:eastAsia="Arial" w:hAnsi="Arial"/>
          <w:color w:val="1C2833"/>
          <w:sz w:val="22"/>
          <w:szCs w:val="22"/>
        </w:rPr>
        <w:t xml:space="preserve">La page Camions affiche l’inventaire complet de la flotte. Pour chaque camion, vous voyez :</w:t>
      </w:r>
    </w:p>
    <w:p>
      <w:pPr>
        <w:pStyle w:val="ListParagraph"/>
        <w:numPr>
          <w:ilvl w:val="0"/>
          <w:numId w:val="3"/>
        </w:numPr>
        <w:spacing w:after="80"/>
      </w:pPr>
      <w:r>
        <w:rPr>
          <w:rFonts w:ascii="Arial" w:cs="Arial" w:eastAsia="Arial" w:hAnsi="Arial"/>
          <w:b/>
          <w:bCs/>
          <w:color w:val="1C2833"/>
          <w:sz w:val="22"/>
          <w:szCs w:val="22"/>
        </w:rPr>
        <w:t xml:space="preserve">Matricule : </w:t>
      </w:r>
      <w:r>
        <w:rPr>
          <w:rFonts w:ascii="Arial" w:cs="Arial" w:eastAsia="Arial" w:hAnsi="Arial"/>
          <w:color w:val="1C2833"/>
          <w:sz w:val="22"/>
          <w:szCs w:val="22"/>
        </w:rPr>
        <w:t xml:space="preserve">numéro de plaque d’immatriculation.</w:t>
      </w:r>
    </w:p>
    <w:p>
      <w:pPr>
        <w:pStyle w:val="ListParagraph"/>
        <w:numPr>
          <w:ilvl w:val="0"/>
          <w:numId w:val="3"/>
        </w:numPr>
        <w:spacing w:after="80"/>
      </w:pPr>
      <w:r>
        <w:rPr>
          <w:rFonts w:ascii="Arial" w:cs="Arial" w:eastAsia="Arial" w:hAnsi="Arial"/>
          <w:b/>
          <w:bCs/>
          <w:color w:val="1C2833"/>
          <w:sz w:val="22"/>
          <w:szCs w:val="22"/>
        </w:rPr>
        <w:t xml:space="preserve">Transporteur : </w:t>
      </w:r>
      <w:r>
        <w:rPr>
          <w:rFonts w:ascii="Arial" w:cs="Arial" w:eastAsia="Arial" w:hAnsi="Arial"/>
          <w:color w:val="1C2833"/>
          <w:sz w:val="22"/>
          <w:szCs w:val="22"/>
        </w:rPr>
        <w:t xml:space="preserve">entreprise propriétaire du camion.</w:t>
      </w:r>
    </w:p>
    <w:p>
      <w:pPr>
        <w:pStyle w:val="ListParagraph"/>
        <w:numPr>
          <w:ilvl w:val="0"/>
          <w:numId w:val="3"/>
        </w:numPr>
        <w:spacing w:after="80"/>
      </w:pPr>
      <w:r>
        <w:rPr>
          <w:rFonts w:ascii="Arial" w:cs="Arial" w:eastAsia="Arial" w:hAnsi="Arial"/>
          <w:b/>
          <w:bCs/>
          <w:color w:val="1C2833"/>
          <w:sz w:val="22"/>
          <w:szCs w:val="22"/>
        </w:rPr>
        <w:t xml:space="preserve">Compteur (km) : </w:t>
      </w:r>
      <w:r>
        <w:rPr>
          <w:rFonts w:ascii="Arial" w:cs="Arial" w:eastAsia="Arial" w:hAnsi="Arial"/>
          <w:color w:val="1C2833"/>
          <w:sz w:val="22"/>
          <w:szCs w:val="22"/>
        </w:rPr>
        <w:t xml:space="preserve">kilométrage total cumulé.</w:t>
      </w:r>
    </w:p>
    <w:p>
      <w:pPr>
        <w:pStyle w:val="ListParagraph"/>
        <w:numPr>
          <w:ilvl w:val="0"/>
          <w:numId w:val="3"/>
        </w:numPr>
        <w:spacing w:after="80"/>
      </w:pPr>
      <w:r>
        <w:rPr>
          <w:rFonts w:ascii="Arial" w:cs="Arial" w:eastAsia="Arial" w:hAnsi="Arial"/>
          <w:b/>
          <w:bCs/>
          <w:color w:val="1C2833"/>
          <w:sz w:val="22"/>
          <w:szCs w:val="22"/>
        </w:rPr>
        <w:t xml:space="preserve">GPS : </w:t>
      </w:r>
      <w:r>
        <w:rPr>
          <w:rFonts w:ascii="Arial" w:cs="Arial" w:eastAsia="Arial" w:hAnsi="Arial"/>
          <w:color w:val="1C2833"/>
          <w:sz w:val="22"/>
          <w:szCs w:val="22"/>
        </w:rPr>
        <w:t xml:space="preserve">icône indiquant si le tracker GPS est connecté ou non.</w:t>
      </w:r>
    </w:p>
    <w:p>
      <w:pPr>
        <w:pStyle w:val="ListParagraph"/>
        <w:numPr>
          <w:ilvl w:val="0"/>
          <w:numId w:val="3"/>
        </w:numPr>
        <w:spacing w:after="80"/>
      </w:pPr>
      <w:r>
        <w:rPr>
          <w:rFonts w:ascii="Arial" w:cs="Arial" w:eastAsia="Arial" w:hAnsi="Arial"/>
          <w:b/>
          <w:bCs/>
          <w:color w:val="1C2833"/>
          <w:sz w:val="22"/>
          <w:szCs w:val="22"/>
        </w:rPr>
        <w:t xml:space="preserve">Carburant : </w:t>
      </w:r>
      <w:r>
        <w:rPr>
          <w:rFonts w:ascii="Arial" w:cs="Arial" w:eastAsia="Arial" w:hAnsi="Arial"/>
          <w:color w:val="1C2833"/>
          <w:sz w:val="22"/>
          <w:szCs w:val="22"/>
        </w:rPr>
        <w:t xml:space="preserve">dernier niveau de carburant mesuré (en litres). Code couleur : vert (&gt; 80 L), orange (30–80 L), rouge (&lt; 30 L).</w:t>
      </w:r>
    </w:p>
    <w:p>
      <w:pPr>
        <w:pStyle w:val="ListParagraph"/>
        <w:numPr>
          <w:ilvl w:val="0"/>
          <w:numId w:val="3"/>
        </w:numPr>
        <w:spacing w:after="80"/>
      </w:pPr>
      <w:r>
        <w:rPr>
          <w:rFonts w:ascii="Arial" w:cs="Arial" w:eastAsia="Arial" w:hAnsi="Arial"/>
          <w:b/>
          <w:bCs/>
          <w:color w:val="1C2833"/>
          <w:sz w:val="22"/>
          <w:szCs w:val="22"/>
        </w:rPr>
        <w:t xml:space="preserve">État maintenance : </w:t>
      </w:r>
      <w:r>
        <w:rPr>
          <w:rFonts w:ascii="Arial" w:cs="Arial" w:eastAsia="Arial" w:hAnsi="Arial"/>
          <w:color w:val="1C2833"/>
          <w:sz w:val="22"/>
          <w:szCs w:val="22"/>
        </w:rPr>
        <w:t xml:space="preserve">Vert (OK), Jaune (bientôt), Rouge (urgent).</w:t>
      </w:r>
    </w:p>
    <w:p>
      <w:pPr>
        <w:pStyle w:val="ListParagraph"/>
        <w:numPr>
          <w:ilvl w:val="0"/>
          <w:numId w:val="3"/>
        </w:numPr>
        <w:spacing w:after="80"/>
      </w:pPr>
      <w:r>
        <w:rPr>
          <w:rFonts w:ascii="Arial" w:cs="Arial" w:eastAsia="Arial" w:hAnsi="Arial"/>
          <w:b/>
          <w:bCs/>
          <w:color w:val="1C2833"/>
          <w:sz w:val="22"/>
          <w:szCs w:val="22"/>
        </w:rPr>
        <w:t xml:space="preserve">Dernière synchronisation : </w:t>
      </w:r>
      <w:r>
        <w:rPr>
          <w:rFonts w:ascii="Arial" w:cs="Arial" w:eastAsia="Arial" w:hAnsi="Arial"/>
          <w:color w:val="1C2833"/>
          <w:sz w:val="22"/>
          <w:szCs w:val="22"/>
        </w:rPr>
        <w:t xml:space="preserve">date et heure de la dernière mise à jour GPS.</w:t>
      </w:r>
    </w:p>
    <w:p>
      <w:pPr>
        <w:spacing w:after="80"/>
      </w:pPr>
    </w:p>
    <w:p>
      <w:pPr>
        <w:pStyle w:val="Heading2"/>
        <w:spacing w:after="160" w:before="300"/>
      </w:pPr>
      <w:r>
        <w:rPr>
          <w:rFonts w:ascii="Arial" w:cs="Arial" w:eastAsia="Arial" w:hAnsi="Arial"/>
          <w:b/>
          <w:bCs/>
          <w:color w:val="148F77"/>
          <w:sz w:val="26"/>
          <w:szCs w:val="26"/>
        </w:rPr>
        <w:t xml:space="preserve">5.2 Fiche détaillée</w:t>
      </w:r>
    </w:p>
    <w:p>
      <w:pPr>
        <w:spacing w:after="140"/>
        <w:jc w:val="both"/>
      </w:pPr>
      <w:r>
        <w:rPr>
          <w:rFonts w:ascii="Arial" w:cs="Arial" w:eastAsia="Arial" w:hAnsi="Arial"/>
          <w:color w:val="1C2833"/>
          <w:sz w:val="22"/>
          <w:szCs w:val="22"/>
        </w:rPr>
        <w:t xml:space="preserve">En cliquant sur un camion, vous accédez à sa fiche complète : informations générales, historique des 20 dernières rotations, historique de maintenance, données Fleeti (kilomètres, carburant, identifiants GPS).</w:t>
      </w:r>
    </w:p>
    <w:p>
      <w:pPr>
        <w:spacing w:after="80"/>
      </w:pPr>
    </w:p>
    <w:p>
      <w:pPr>
        <w:pStyle w:val="Heading2"/>
        <w:spacing w:after="160" w:before="300"/>
      </w:pPr>
      <w:r>
        <w:rPr>
          <w:rFonts w:ascii="Arial" w:cs="Arial" w:eastAsia="Arial" w:hAnsi="Arial"/>
          <w:b/>
          <w:bCs/>
          <w:color w:val="148F77"/>
          <w:sz w:val="26"/>
          <w:szCs w:val="26"/>
        </w:rPr>
        <w:t xml:space="preserve">5.3 Mise à jour automatique</w:t>
      </w:r>
    </w:p>
    <w:p>
      <w:pPr>
        <w:spacing w:after="140"/>
        <w:jc w:val="both"/>
      </w:pPr>
      <w:r>
        <w:rPr>
          <w:rFonts w:ascii="Arial" w:cs="Arial" w:eastAsia="Arial" w:hAnsi="Arial"/>
          <w:color w:val="1C2833"/>
          <w:sz w:val="22"/>
          <w:szCs w:val="22"/>
        </w:rPr>
        <w:t xml:space="preserve">Les données GPS (position, vitesse, carburant, compteur) sont mises à jour automatiquement toutes les 30 minutes. Aucune action manuelle n’est requise.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BABB" w:sz="1"/>
              <w:left w:val="single" w:color="0E6655" w:sz="8"/>
              <w:bottom w:val="single" w:color="B2BABB" w:sz="1"/>
              <w:right w:val="single" w:color="B2BABB" w:sz="1"/>
            </w:tcBorders>
            <w:shd w:fill="FDEBD0" w:val="clear"/>
            <w:tcMar>
              <w:top w:type="dxa" w:w="100"/>
              <w:left w:type="dxa" w:w="200"/>
              <w:bottom w:type="dxa" w:w="100"/>
              <w:right w:type="dxa" w:w="200"/>
            </w:tcMar>
          </w:tcPr>
          <w:p>
            <w:pPr>
              <w:spacing w:after="60"/>
            </w:pPr>
            <w:r>
              <w:rPr>
                <w:rFonts w:ascii="Arial" w:cs="Arial" w:eastAsia="Arial" w:hAnsi="Arial"/>
                <w:b/>
                <w:bCs/>
                <w:color w:val="0E6655"/>
                <w:sz w:val="21"/>
                <w:szCs w:val="21"/>
              </w:rPr>
              <w:t xml:space="preserve">Camion déconnecté</w:t>
            </w:r>
          </w:p>
          <w:p>
            <w:r>
              <w:rPr>
                <w:rFonts w:ascii="Arial" w:cs="Arial" w:eastAsia="Arial" w:hAnsi="Arial"/>
                <w:color w:val="1C2833"/>
                <w:sz w:val="20"/>
                <w:szCs w:val="20"/>
              </w:rPr>
              <w:t xml:space="preserve">Si la date de dernière synchronisation remonte à plus de 24 heures, le tracker GPS du camion ne répond plus. Vérifiez physiquement : alimentation électrique, batterie, couverture réseau.</w:t>
            </w:r>
          </w:p>
        </w:tc>
      </w:tr>
    </w:tbl>
    <w:p>
      <w:r>
        <w:br w:type="page"/>
      </w:r>
    </w:p>
    <w:p>
      <w:pPr>
        <w:pStyle w:val="Heading1"/>
        <w:spacing w:after="200" w:before="400"/>
      </w:pPr>
      <w:r>
        <w:rPr>
          <w:rFonts w:ascii="Arial" w:cs="Arial" w:eastAsia="Arial" w:hAnsi="Arial"/>
          <w:b/>
          <w:bCs/>
          <w:color w:val="0E6655"/>
          <w:sz w:val="32"/>
          <w:szCs w:val="32"/>
        </w:rPr>
        <w:t xml:space="preserve">6. Cartographie en Temps Réel</w:t>
      </w:r>
    </w:p>
    <w:p>
      <w:pPr>
        <w:spacing w:after="140"/>
        <w:jc w:val="both"/>
      </w:pPr>
      <w:r>
        <w:rPr>
          <w:rFonts w:ascii="Arial" w:cs="Arial" w:eastAsia="Arial" w:hAnsi="Arial"/>
          <w:color w:val="1C2833"/>
          <w:sz w:val="22"/>
          <w:szCs w:val="22"/>
        </w:rPr>
        <w:t xml:space="preserve">La page Cartographie de la flotte affiche une carte interactive montrant la position actuelle de chaque camion.</w:t>
      </w:r>
    </w:p>
    <w:p>
      <w:pPr>
        <w:spacing w:after="80"/>
      </w:pPr>
    </w:p>
    <w:p>
      <w:pPr>
        <w:pStyle w:val="Heading2"/>
        <w:spacing w:after="160" w:before="300"/>
      </w:pPr>
      <w:r>
        <w:rPr>
          <w:rFonts w:ascii="Arial" w:cs="Arial" w:eastAsia="Arial" w:hAnsi="Arial"/>
          <w:b/>
          <w:bCs/>
          <w:color w:val="148F77"/>
          <w:sz w:val="26"/>
          <w:szCs w:val="26"/>
        </w:rPr>
        <w:t xml:space="preserve">6.1 Code couleur des marqueurs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Couleur</w:t>
            </w:r>
          </w:p>
        </w:tc>
        <w:tc>
          <w:tcPr>
            <w:tcW w:type="dxa" w:w="2500"/>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État</w:t>
            </w:r>
          </w:p>
        </w:tc>
        <w:tc>
          <w:tcPr>
            <w:tcW w:type="dxa" w:w="5026"/>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Signification</w:t>
            </w:r>
          </w:p>
        </w:tc>
      </w:tr>
      <w:tr>
        <w:tc>
          <w:tcPr>
            <w:tcW w:type="dxa" w:w="1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Vert</w:t>
            </w:r>
          </w:p>
        </w:tc>
        <w:tc>
          <w:tcPr>
            <w:tcW w:type="dxa" w:w="2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En mouvement</w:t>
            </w:r>
          </w:p>
        </w:tc>
        <w:tc>
          <w:tcPr>
            <w:tcW w:type="dxa" w:w="50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Le camion roule actuellement.</w:t>
            </w:r>
          </w:p>
        </w:tc>
      </w:tr>
      <w:tr>
        <w:tc>
          <w:tcPr>
            <w:tcW w:type="dxa" w:w="15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Orange</w:t>
            </w:r>
          </w:p>
        </w:tc>
        <w:tc>
          <w:tcPr>
            <w:tcW w:type="dxa" w:w="25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Ralenti</w:t>
            </w:r>
          </w:p>
        </w:tc>
        <w:tc>
          <w:tcPr>
            <w:tcW w:type="dxa" w:w="50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Le moteur tourne mais le camion est immobile.</w:t>
            </w:r>
          </w:p>
        </w:tc>
      </w:tr>
      <w:tr>
        <w:tc>
          <w:tcPr>
            <w:tcW w:type="dxa" w:w="1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Gris</w:t>
            </w:r>
          </w:p>
        </w:tc>
        <w:tc>
          <w:tcPr>
            <w:tcW w:type="dxa" w:w="2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À l’arrêt</w:t>
            </w:r>
          </w:p>
        </w:tc>
        <w:tc>
          <w:tcPr>
            <w:tcW w:type="dxa" w:w="50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Le moteur est éteint, le camion est stationné.</w:t>
            </w:r>
          </w:p>
        </w:tc>
      </w:tr>
    </w:tbl>
    <w:p>
      <w:pPr>
        <w:spacing w:after="80"/>
      </w:pPr>
    </w:p>
    <w:p>
      <w:pPr>
        <w:pStyle w:val="Heading2"/>
        <w:spacing w:after="160" w:before="300"/>
      </w:pPr>
      <w:r>
        <w:rPr>
          <w:rFonts w:ascii="Arial" w:cs="Arial" w:eastAsia="Arial" w:hAnsi="Arial"/>
          <w:b/>
          <w:bCs/>
          <w:color w:val="148F77"/>
          <w:sz w:val="26"/>
          <w:szCs w:val="26"/>
        </w:rPr>
        <w:t xml:space="preserve">6.2 Interaction</w:t>
      </w:r>
    </w:p>
    <w:p>
      <w:pPr>
        <w:spacing w:after="140"/>
        <w:jc w:val="both"/>
      </w:pPr>
      <w:r>
        <w:rPr>
          <w:rFonts w:ascii="Arial" w:cs="Arial" w:eastAsia="Arial" w:hAnsi="Arial"/>
          <w:color w:val="1C2833"/>
          <w:sz w:val="22"/>
          <w:szCs w:val="22"/>
        </w:rPr>
        <w:t xml:space="preserve">Cliquez sur un marqueur pour voir les détails : matricule, vitesse actuelle, niveau de carburant, date de dernière synchronisation. Un lien direct permet d’accéder à la fiche complète du camion.</w:t>
      </w:r>
    </w:p>
    <w:p>
      <w:pPr>
        <w:spacing w:after="80"/>
      </w:pPr>
    </w:p>
    <w:p>
      <w:pPr>
        <w:pStyle w:val="Heading2"/>
        <w:spacing w:after="160" w:before="300"/>
      </w:pPr>
      <w:r>
        <w:rPr>
          <w:rFonts w:ascii="Arial" w:cs="Arial" w:eastAsia="Arial" w:hAnsi="Arial"/>
          <w:b/>
          <w:bCs/>
          <w:color w:val="148F77"/>
          <w:sz w:val="26"/>
          <w:szCs w:val="26"/>
        </w:rPr>
        <w:t xml:space="preserve">6.3 Statistiques</w:t>
      </w:r>
    </w:p>
    <w:p>
      <w:pPr>
        <w:spacing w:after="140"/>
        <w:jc w:val="both"/>
      </w:pPr>
      <w:r>
        <w:rPr>
          <w:rFonts w:ascii="Arial" w:cs="Arial" w:eastAsia="Arial" w:hAnsi="Arial"/>
          <w:color w:val="1C2833"/>
          <w:sz w:val="22"/>
          <w:szCs w:val="22"/>
        </w:rPr>
        <w:t xml:space="preserve">En haut de la page, quatre compteurs résument l’état de la flotte : nombre total de camions visibles sur la carte, en mouvement, au ralenti, à l’arrêt.</w:t>
      </w:r>
    </w:p>
    <w:p>
      <w:r>
        <w:br w:type="page"/>
      </w:r>
    </w:p>
    <w:p>
      <w:pPr>
        <w:pStyle w:val="Heading1"/>
        <w:spacing w:after="200" w:before="400"/>
      </w:pPr>
      <w:r>
        <w:rPr>
          <w:rFonts w:ascii="Arial" w:cs="Arial" w:eastAsia="Arial" w:hAnsi="Arial"/>
          <w:b/>
          <w:bCs/>
          <w:color w:val="0E6655"/>
          <w:sz w:val="32"/>
          <w:szCs w:val="32"/>
        </w:rPr>
        <w:t xml:space="preserve">7. Détection Automatique des Anomalies</w:t>
      </w:r>
    </w:p>
    <w:p>
      <w:pPr>
        <w:spacing w:after="140"/>
        <w:jc w:val="both"/>
      </w:pPr>
      <w:r>
        <w:rPr>
          <w:rFonts w:ascii="Arial" w:cs="Arial" w:eastAsia="Arial" w:hAnsi="Arial"/>
          <w:color w:val="1C2833"/>
          <w:sz w:val="22"/>
          <w:szCs w:val="22"/>
        </w:rPr>
        <w:t xml:space="preserve">Le système surveille en permanence les données de télémétrie et de transport pour détecter automatiquement cinq types d’anomalies. Aucune intervention humaine n’est nécessaire pour la détection — seul l’examen des incidents requiert une action du Manager.</w:t>
      </w:r>
    </w:p>
    <w:p>
      <w:pPr>
        <w:spacing w:after="80"/>
      </w:pPr>
    </w:p>
    <w:p>
      <w:pPr>
        <w:pStyle w:val="Heading2"/>
        <w:spacing w:after="160" w:before="300"/>
      </w:pPr>
      <w:r>
        <w:rPr>
          <w:rFonts w:ascii="Arial" w:cs="Arial" w:eastAsia="Arial" w:hAnsi="Arial"/>
          <w:b/>
          <w:bCs/>
          <w:color w:val="148F77"/>
          <w:sz w:val="26"/>
          <w:szCs w:val="26"/>
        </w:rPr>
        <w:t xml:space="preserve">7.1 Vol de carburant (siphonnage)</w:t>
      </w:r>
    </w:p>
    <w:p>
      <w:pPr>
        <w:spacing w:after="140"/>
      </w:pPr>
      <w:r>
        <w:rPr>
          <w:rFonts w:ascii="Arial" w:cs="Arial" w:eastAsia="Arial" w:hAnsi="Arial"/>
          <w:b/>
          <w:bCs/>
          <w:color w:val="1C2833"/>
          <w:sz w:val="22"/>
          <w:szCs w:val="22"/>
        </w:rPr>
        <w:t xml:space="preserve">Déclencheur : </w:t>
      </w:r>
      <w:r>
        <w:rPr>
          <w:rFonts w:ascii="Arial" w:cs="Arial" w:eastAsia="Arial" w:hAnsi="Arial"/>
          <w:color w:val="1C2833"/>
          <w:sz w:val="22"/>
          <w:szCs w:val="22"/>
        </w:rPr>
        <w:t xml:space="preserve">le niveau de carburant baisse de plus de 15 litres alors que le moteur est éteint et le camion immobile.</w:t>
      </w:r>
    </w:p>
    <w:p>
      <w:pPr>
        <w:spacing w:after="140"/>
      </w:pPr>
      <w:r>
        <w:rPr>
          <w:rFonts w:ascii="Arial" w:cs="Arial" w:eastAsia="Arial" w:hAnsi="Arial"/>
          <w:b/>
          <w:bCs/>
          <w:color w:val="1C2833"/>
          <w:sz w:val="22"/>
          <w:szCs w:val="22"/>
        </w:rPr>
        <w:t xml:space="preserve">Explication : </w:t>
      </w:r>
      <w:r>
        <w:rPr>
          <w:rFonts w:ascii="Arial" w:cs="Arial" w:eastAsia="Arial" w:hAnsi="Arial"/>
          <w:color w:val="1C2833"/>
          <w:sz w:val="22"/>
          <w:szCs w:val="22"/>
        </w:rPr>
        <w:t xml:space="preserve">un siphonnage se produit généralement la nuit, quand le camion est stationné. Le capteur de niveau dans le réservoir détecte la baisse.</w:t>
      </w:r>
    </w:p>
    <w:p>
      <w:pPr>
        <w:spacing w:after="140"/>
      </w:pPr>
      <w:r>
        <w:rPr>
          <w:rFonts w:ascii="Arial" w:cs="Arial" w:eastAsia="Arial" w:hAnsi="Arial"/>
          <w:b/>
          <w:bCs/>
          <w:color w:val="1C2833"/>
          <w:sz w:val="22"/>
          <w:szCs w:val="22"/>
        </w:rPr>
        <w:t xml:space="preserve">Sévérité : </w:t>
      </w:r>
      <w:r>
        <w:rPr>
          <w:rFonts w:ascii="Arial" w:cs="Arial" w:eastAsia="Arial" w:hAnsi="Arial"/>
          <w:color w:val="1C2833"/>
          <w:sz w:val="22"/>
          <w:szCs w:val="22"/>
        </w:rPr>
        <w:t xml:space="preserve">Haute si la perte dépasse 50 litres, Moyenne sinon.</w:t>
      </w:r>
    </w:p>
    <w:p>
      <w:pPr>
        <w:spacing w:after="80"/>
      </w:pPr>
    </w:p>
    <w:p>
      <w:pPr>
        <w:pStyle w:val="Heading2"/>
        <w:spacing w:after="160" w:before="300"/>
      </w:pPr>
      <w:r>
        <w:rPr>
          <w:rFonts w:ascii="Arial" w:cs="Arial" w:eastAsia="Arial" w:hAnsi="Arial"/>
          <w:b/>
          <w:bCs/>
          <w:color w:val="148F77"/>
          <w:sz w:val="26"/>
          <w:szCs w:val="26"/>
        </w:rPr>
        <w:t xml:space="preserve">7.2 Écart de poids (cargaison)</w:t>
      </w:r>
    </w:p>
    <w:p>
      <w:pPr>
        <w:spacing w:after="140"/>
      </w:pPr>
      <w:r>
        <w:rPr>
          <w:rFonts w:ascii="Arial" w:cs="Arial" w:eastAsia="Arial" w:hAnsi="Arial"/>
          <w:b/>
          <w:bCs/>
          <w:color w:val="1C2833"/>
          <w:sz w:val="22"/>
          <w:szCs w:val="22"/>
        </w:rPr>
        <w:t xml:space="preserve">Déclencheur : </w:t>
      </w:r>
      <w:r>
        <w:rPr>
          <w:rFonts w:ascii="Arial" w:cs="Arial" w:eastAsia="Arial" w:hAnsi="Arial"/>
          <w:color w:val="1C2833"/>
          <w:sz w:val="22"/>
          <w:szCs w:val="22"/>
        </w:rPr>
        <w:t xml:space="preserve">le poids reçu par le client est inférieur de plus de 300 kg au poids expédié par le fournisseur.</w:t>
      </w:r>
    </w:p>
    <w:p>
      <w:pPr>
        <w:spacing w:after="140"/>
      </w:pPr>
      <w:r>
        <w:rPr>
          <w:rFonts w:ascii="Arial" w:cs="Arial" w:eastAsia="Arial" w:hAnsi="Arial"/>
          <w:b/>
          <w:bCs/>
          <w:color w:val="1C2833"/>
          <w:sz w:val="22"/>
          <w:szCs w:val="22"/>
        </w:rPr>
        <w:t xml:space="preserve">Explication : </w:t>
      </w:r>
      <w:r>
        <w:rPr>
          <w:rFonts w:ascii="Arial" w:cs="Arial" w:eastAsia="Arial" w:hAnsi="Arial"/>
          <w:color w:val="1C2833"/>
          <w:sz w:val="22"/>
          <w:szCs w:val="22"/>
        </w:rPr>
        <w:t xml:space="preserve">un écart important entre les deux pesées indique qu’une partie de la cargaison de basalte a été déchargée en route, possiblement à un arrêt non autorisé.</w:t>
      </w:r>
    </w:p>
    <w:p>
      <w:pPr>
        <w:spacing w:after="140"/>
      </w:pPr>
      <w:r>
        <w:rPr>
          <w:rFonts w:ascii="Arial" w:cs="Arial" w:eastAsia="Arial" w:hAnsi="Arial"/>
          <w:b/>
          <w:bCs/>
          <w:color w:val="1C2833"/>
          <w:sz w:val="22"/>
          <w:szCs w:val="22"/>
        </w:rPr>
        <w:t xml:space="preserve">Sévérité : </w:t>
      </w:r>
      <w:r>
        <w:rPr>
          <w:rFonts w:ascii="Arial" w:cs="Arial" w:eastAsia="Arial" w:hAnsi="Arial"/>
          <w:color w:val="1C2833"/>
          <w:sz w:val="22"/>
          <w:szCs w:val="22"/>
        </w:rPr>
        <w:t xml:space="preserve">Haute si la perte dépasse 1 000 kg, Moyenne entre 500 et 1 000 kg, Basse en dessous.</w:t>
      </w:r>
    </w:p>
    <w:p>
      <w:pPr>
        <w:spacing w:after="80"/>
      </w:pPr>
    </w:p>
    <w:p>
      <w:pPr>
        <w:pStyle w:val="Heading2"/>
        <w:spacing w:after="160" w:before="300"/>
      </w:pPr>
      <w:r>
        <w:rPr>
          <w:rFonts w:ascii="Arial" w:cs="Arial" w:eastAsia="Arial" w:hAnsi="Arial"/>
          <w:b/>
          <w:bCs/>
          <w:color w:val="148F77"/>
          <w:sz w:val="26"/>
          <w:szCs w:val="26"/>
        </w:rPr>
        <w:t xml:space="preserve">7.3 Arrêts suspects</w:t>
      </w:r>
    </w:p>
    <w:p>
      <w:pPr>
        <w:spacing w:after="140"/>
      </w:pPr>
      <w:r>
        <w:rPr>
          <w:rFonts w:ascii="Arial" w:cs="Arial" w:eastAsia="Arial" w:hAnsi="Arial"/>
          <w:b/>
          <w:bCs/>
          <w:color w:val="1C2833"/>
          <w:sz w:val="22"/>
          <w:szCs w:val="22"/>
        </w:rPr>
        <w:t xml:space="preserve">Déclencheur : </w:t>
      </w:r>
      <w:r>
        <w:rPr>
          <w:rFonts w:ascii="Arial" w:cs="Arial" w:eastAsia="Arial" w:hAnsi="Arial"/>
          <w:color w:val="1C2833"/>
          <w:sz w:val="22"/>
          <w:szCs w:val="22"/>
        </w:rPr>
        <w:t xml:space="preserve">le camion s’arrête plus de 20 minutes à un endroit qui n’est pas répertorié comme lieu connu (base, station-service, parking), et cela pendant une mission de livraison.</w:t>
      </w:r>
    </w:p>
    <w:p>
      <w:pPr>
        <w:spacing w:after="140"/>
      </w:pPr>
      <w:r>
        <w:rPr>
          <w:rFonts w:ascii="Arial" w:cs="Arial" w:eastAsia="Arial" w:hAnsi="Arial"/>
          <w:b/>
          <w:bCs/>
          <w:color w:val="1C2833"/>
          <w:sz w:val="22"/>
          <w:szCs w:val="22"/>
        </w:rPr>
        <w:t xml:space="preserve">Explication : </w:t>
      </w:r>
      <w:r>
        <w:rPr>
          <w:rFonts w:ascii="Arial" w:cs="Arial" w:eastAsia="Arial" w:hAnsi="Arial"/>
          <w:color w:val="1C2833"/>
          <w:sz w:val="22"/>
          <w:szCs w:val="22"/>
        </w:rPr>
        <w:t xml:space="preserve">un arrêt prolongé en pleine mission à un lieu inconnu peut indiquer un déchargement illicite de cargaison.</w:t>
      </w:r>
    </w:p>
    <w:p>
      <w:pPr>
        <w:spacing w:after="140"/>
      </w:pPr>
      <w:r>
        <w:rPr>
          <w:rFonts w:ascii="Arial" w:cs="Arial" w:eastAsia="Arial" w:hAnsi="Arial"/>
          <w:b/>
          <w:bCs/>
          <w:color w:val="1C2833"/>
          <w:sz w:val="22"/>
          <w:szCs w:val="22"/>
        </w:rPr>
        <w:t xml:space="preserve">Comment réduire les faux positifs : </w:t>
      </w:r>
      <w:r>
        <w:rPr>
          <w:rFonts w:ascii="Arial" w:cs="Arial" w:eastAsia="Arial" w:hAnsi="Arial"/>
          <w:color w:val="1C2833"/>
          <w:sz w:val="22"/>
          <w:szCs w:val="22"/>
        </w:rPr>
        <w:t xml:space="preserve">créez des lieux (géofences) pour les stations-service, restaurants et parkings fréquentés. Le système ne signalera plus les arrêts à ces endroits.</w:t>
      </w:r>
    </w:p>
    <w:p>
      <w:pPr>
        <w:spacing w:after="80"/>
      </w:pPr>
    </w:p>
    <w:p>
      <w:pPr>
        <w:pStyle w:val="Heading2"/>
        <w:spacing w:after="160" w:before="300"/>
      </w:pPr>
      <w:r>
        <w:rPr>
          <w:rFonts w:ascii="Arial" w:cs="Arial" w:eastAsia="Arial" w:hAnsi="Arial"/>
          <w:b/>
          <w:bCs/>
          <w:color w:val="148F77"/>
          <w:sz w:val="26"/>
          <w:szCs w:val="26"/>
        </w:rPr>
        <w:t xml:space="preserve">7.4 Mouvement hors horaires</w:t>
      </w:r>
    </w:p>
    <w:p>
      <w:pPr>
        <w:spacing w:after="140"/>
      </w:pPr>
      <w:r>
        <w:rPr>
          <w:rFonts w:ascii="Arial" w:cs="Arial" w:eastAsia="Arial" w:hAnsi="Arial"/>
          <w:b/>
          <w:bCs/>
          <w:color w:val="1C2833"/>
          <w:sz w:val="22"/>
          <w:szCs w:val="22"/>
        </w:rPr>
        <w:t xml:space="preserve">Déclencheur : </w:t>
      </w:r>
      <w:r>
        <w:rPr>
          <w:rFonts w:ascii="Arial" w:cs="Arial" w:eastAsia="Arial" w:hAnsi="Arial"/>
          <w:color w:val="1C2833"/>
          <w:sz w:val="22"/>
          <w:szCs w:val="22"/>
        </w:rPr>
        <w:t xml:space="preserve">un camion se déplace (vitesse &gt; 5 km/h) en dehors des heures de travail (05h00–21h00, lundi–samedi par défaut), sans aucune mission de transport assignée.</w:t>
      </w:r>
    </w:p>
    <w:p>
      <w:pPr>
        <w:spacing w:after="140"/>
      </w:pPr>
      <w:r>
        <w:rPr>
          <w:rFonts w:ascii="Arial" w:cs="Arial" w:eastAsia="Arial" w:hAnsi="Arial"/>
          <w:b/>
          <w:bCs/>
          <w:color w:val="1C2833"/>
          <w:sz w:val="22"/>
          <w:szCs w:val="22"/>
        </w:rPr>
        <w:t xml:space="preserve">Explication : </w:t>
      </w:r>
      <w:r>
        <w:rPr>
          <w:rFonts w:ascii="Arial" w:cs="Arial" w:eastAsia="Arial" w:hAnsi="Arial"/>
          <w:color w:val="1C2833"/>
          <w:sz w:val="22"/>
          <w:szCs w:val="22"/>
        </w:rPr>
        <w:t xml:space="preserve">un camion qui roule la nuit ou le dimanche sans raison légitime est suspect.</w:t>
      </w:r>
    </w:p>
    <w:p>
      <w:pPr>
        <w:spacing w:after="80"/>
      </w:pPr>
    </w:p>
    <w:p>
      <w:pPr>
        <w:pStyle w:val="Heading2"/>
        <w:spacing w:after="160" w:before="300"/>
      </w:pPr>
      <w:r>
        <w:rPr>
          <w:rFonts w:ascii="Arial" w:cs="Arial" w:eastAsia="Arial" w:hAnsi="Arial"/>
          <w:b/>
          <w:bCs/>
          <w:color w:val="148F77"/>
          <w:sz w:val="26"/>
          <w:szCs w:val="26"/>
        </w:rPr>
        <w:t xml:space="preserve">7.5 Détour d’itinéraire</w:t>
      </w:r>
    </w:p>
    <w:p>
      <w:pPr>
        <w:spacing w:after="140"/>
      </w:pPr>
      <w:r>
        <w:rPr>
          <w:rFonts w:ascii="Arial" w:cs="Arial" w:eastAsia="Arial" w:hAnsi="Arial"/>
          <w:b/>
          <w:bCs/>
          <w:color w:val="1C2833"/>
          <w:sz w:val="22"/>
          <w:szCs w:val="22"/>
        </w:rPr>
        <w:t xml:space="preserve">Déclencheur : </w:t>
      </w:r>
      <w:r>
        <w:rPr>
          <w:rFonts w:ascii="Arial" w:cs="Arial" w:eastAsia="Arial" w:hAnsi="Arial"/>
          <w:color w:val="1C2833"/>
          <w:sz w:val="22"/>
          <w:szCs w:val="22"/>
        </w:rPr>
        <w:t xml:space="preserve">la distance réellement parcourue est beaucoup plus grande que la distance normale entre le point de chargement et le client.</w:t>
      </w:r>
    </w:p>
    <w:p>
      <w:pPr>
        <w:spacing w:after="140"/>
      </w:pPr>
      <w:r>
        <w:rPr>
          <w:rFonts w:ascii="Arial" w:cs="Arial" w:eastAsia="Arial" w:hAnsi="Arial"/>
          <w:b/>
          <w:bCs/>
          <w:color w:val="1C2833"/>
          <w:sz w:val="22"/>
          <w:szCs w:val="22"/>
        </w:rPr>
        <w:t xml:space="preserve">Explication : </w:t>
      </w:r>
      <w:r>
        <w:rPr>
          <w:rFonts w:ascii="Arial" w:cs="Arial" w:eastAsia="Arial" w:hAnsi="Arial"/>
          <w:color w:val="1C2833"/>
          <w:sz w:val="22"/>
          <w:szCs w:val="22"/>
        </w:rPr>
        <w:t xml:space="preserve">un détour important peut indiquer que le camion a fait un crochet pour décharger une partie de la cargaison.</w:t>
      </w:r>
    </w:p>
    <w:p>
      <w:r>
        <w:br w:type="page"/>
      </w:r>
    </w:p>
    <w:p>
      <w:pPr>
        <w:pStyle w:val="Heading1"/>
        <w:spacing w:after="200" w:before="400"/>
      </w:pPr>
      <w:r>
        <w:rPr>
          <w:rFonts w:ascii="Arial" w:cs="Arial" w:eastAsia="Arial" w:hAnsi="Arial"/>
          <w:b/>
          <w:bCs/>
          <w:color w:val="0E6655"/>
          <w:sz w:val="32"/>
          <w:szCs w:val="32"/>
        </w:rPr>
        <w:t xml:space="preserve">8. Page Incidents de Vol</w:t>
      </w:r>
    </w:p>
    <w:p>
      <w:pPr>
        <w:spacing w:after="140"/>
        <w:jc w:val="both"/>
      </w:pPr>
      <w:r>
        <w:rPr>
          <w:rFonts w:ascii="Arial" w:cs="Arial" w:eastAsia="Arial" w:hAnsi="Arial"/>
          <w:color w:val="1C2833"/>
          <w:sz w:val="22"/>
          <w:szCs w:val="22"/>
        </w:rPr>
        <w:t xml:space="preserve">Cette page est le centre de commande pour la gestion des incidents. Elle regroupe toutes les anomalies détectées automatiquement.</w:t>
      </w:r>
    </w:p>
    <w:p>
      <w:pPr>
        <w:spacing w:after="80"/>
      </w:pPr>
    </w:p>
    <w:p>
      <w:pPr>
        <w:pStyle w:val="Heading2"/>
        <w:spacing w:after="160" w:before="300"/>
      </w:pPr>
      <w:r>
        <w:rPr>
          <w:rFonts w:ascii="Arial" w:cs="Arial" w:eastAsia="Arial" w:hAnsi="Arial"/>
          <w:b/>
          <w:bCs/>
          <w:color w:val="148F77"/>
          <w:sz w:val="26"/>
          <w:szCs w:val="26"/>
        </w:rPr>
        <w:t xml:space="preserve">8.1 Statistiques en haut de page</w:t>
      </w:r>
    </w:p>
    <w:p>
      <w:pPr>
        <w:spacing w:after="140"/>
        <w:jc w:val="both"/>
      </w:pPr>
      <w:r>
        <w:rPr>
          <w:rFonts w:ascii="Arial" w:cs="Arial" w:eastAsia="Arial" w:hAnsi="Arial"/>
          <w:color w:val="1C2833"/>
          <w:sz w:val="22"/>
          <w:szCs w:val="22"/>
        </w:rPr>
        <w:t xml:space="preserve">Cinq compteurs cliquables résument la situation :</w:t>
      </w:r>
    </w:p>
    <w:p>
      <w:pPr>
        <w:pStyle w:val="ListParagraph"/>
        <w:numPr>
          <w:ilvl w:val="0"/>
          <w:numId w:val="3"/>
        </w:numPr>
        <w:spacing w:after="80"/>
      </w:pPr>
      <w:r>
        <w:rPr>
          <w:rFonts w:ascii="Arial" w:cs="Arial" w:eastAsia="Arial" w:hAnsi="Arial"/>
          <w:b/>
          <w:bCs/>
          <w:color w:val="1C2833"/>
          <w:sz w:val="22"/>
          <w:szCs w:val="22"/>
        </w:rPr>
        <w:t xml:space="preserve">En attente : </w:t>
      </w:r>
      <w:r>
        <w:rPr>
          <w:rFonts w:ascii="Arial" w:cs="Arial" w:eastAsia="Arial" w:hAnsi="Arial"/>
          <w:color w:val="1C2833"/>
          <w:sz w:val="22"/>
          <w:szCs w:val="22"/>
        </w:rPr>
        <w:t xml:space="preserve">incidents non encore examinés. À traiter en priorité.</w:t>
      </w:r>
    </w:p>
    <w:p>
      <w:pPr>
        <w:pStyle w:val="ListParagraph"/>
        <w:numPr>
          <w:ilvl w:val="0"/>
          <w:numId w:val="3"/>
        </w:numPr>
        <w:spacing w:after="80"/>
      </w:pPr>
      <w:r>
        <w:rPr>
          <w:rFonts w:ascii="Arial" w:cs="Arial" w:eastAsia="Arial" w:hAnsi="Arial"/>
          <w:b/>
          <w:bCs/>
          <w:color w:val="1C2833"/>
          <w:sz w:val="22"/>
          <w:szCs w:val="22"/>
        </w:rPr>
        <w:t xml:space="preserve">Confirmés : </w:t>
      </w:r>
      <w:r>
        <w:rPr>
          <w:rFonts w:ascii="Arial" w:cs="Arial" w:eastAsia="Arial" w:hAnsi="Arial"/>
          <w:color w:val="1C2833"/>
          <w:sz w:val="22"/>
          <w:szCs w:val="22"/>
        </w:rPr>
        <w:t xml:space="preserve">vols avérés, validés par le Manager.</w:t>
      </w:r>
    </w:p>
    <w:p>
      <w:pPr>
        <w:pStyle w:val="ListParagraph"/>
        <w:numPr>
          <w:ilvl w:val="0"/>
          <w:numId w:val="3"/>
        </w:numPr>
        <w:spacing w:after="80"/>
      </w:pPr>
      <w:r>
        <w:rPr>
          <w:rFonts w:ascii="Arial" w:cs="Arial" w:eastAsia="Arial" w:hAnsi="Arial"/>
          <w:b/>
          <w:bCs/>
          <w:color w:val="1C2833"/>
          <w:sz w:val="22"/>
          <w:szCs w:val="22"/>
        </w:rPr>
        <w:t xml:space="preserve">Examinés : </w:t>
      </w:r>
      <w:r>
        <w:rPr>
          <w:rFonts w:ascii="Arial" w:cs="Arial" w:eastAsia="Arial" w:hAnsi="Arial"/>
          <w:color w:val="1C2833"/>
          <w:sz w:val="22"/>
          <w:szCs w:val="22"/>
        </w:rPr>
        <w:t xml:space="preserve">incidents pris en compte, en cours d’investigation.</w:t>
      </w:r>
    </w:p>
    <w:p>
      <w:pPr>
        <w:pStyle w:val="ListParagraph"/>
        <w:numPr>
          <w:ilvl w:val="0"/>
          <w:numId w:val="3"/>
        </w:numPr>
        <w:spacing w:after="80"/>
      </w:pPr>
      <w:r>
        <w:rPr>
          <w:rFonts w:ascii="Arial" w:cs="Arial" w:eastAsia="Arial" w:hAnsi="Arial"/>
          <w:b/>
          <w:bCs/>
          <w:color w:val="1C2833"/>
          <w:sz w:val="22"/>
          <w:szCs w:val="22"/>
        </w:rPr>
        <w:t xml:space="preserve">Dernières 24h : </w:t>
      </w:r>
      <w:r>
        <w:rPr>
          <w:rFonts w:ascii="Arial" w:cs="Arial" w:eastAsia="Arial" w:hAnsi="Arial"/>
          <w:color w:val="1C2833"/>
          <w:sz w:val="22"/>
          <w:szCs w:val="22"/>
        </w:rPr>
        <w:t xml:space="preserve">incidents détectés dans la journée.</w:t>
      </w:r>
    </w:p>
    <w:p>
      <w:pPr>
        <w:pStyle w:val="ListParagraph"/>
        <w:numPr>
          <w:ilvl w:val="0"/>
          <w:numId w:val="3"/>
        </w:numPr>
        <w:spacing w:after="80"/>
      </w:pPr>
      <w:r>
        <w:rPr>
          <w:rFonts w:ascii="Arial" w:cs="Arial" w:eastAsia="Arial" w:hAnsi="Arial"/>
          <w:b/>
          <w:bCs/>
          <w:color w:val="1C2833"/>
          <w:sz w:val="22"/>
          <w:szCs w:val="22"/>
        </w:rPr>
        <w:t xml:space="preserve">Total : </w:t>
      </w:r>
      <w:r>
        <w:rPr>
          <w:rFonts w:ascii="Arial" w:cs="Arial" w:eastAsia="Arial" w:hAnsi="Arial"/>
          <w:color w:val="1C2833"/>
          <w:sz w:val="22"/>
          <w:szCs w:val="22"/>
        </w:rPr>
        <w:t xml:space="preserve">nombre total d’incidents dans l’historique.</w:t>
      </w:r>
    </w:p>
    <w:p>
      <w:pPr>
        <w:spacing w:after="140"/>
        <w:jc w:val="both"/>
      </w:pPr>
      <w:r>
        <w:rPr>
          <w:rFonts w:ascii="Arial" w:cs="Arial" w:eastAsia="Arial" w:hAnsi="Arial"/>
          <w:color w:val="1C2833"/>
          <w:sz w:val="22"/>
          <w:szCs w:val="22"/>
        </w:rPr>
        <w:t xml:space="preserve">Cliquer sur un compteur filtre immédiatement le tableau sur ce statut.</w:t>
      </w:r>
    </w:p>
    <w:p>
      <w:pPr>
        <w:spacing w:after="80"/>
      </w:pPr>
    </w:p>
    <w:p>
      <w:pPr>
        <w:pStyle w:val="Heading2"/>
        <w:spacing w:after="160" w:before="300"/>
      </w:pPr>
      <w:r>
        <w:rPr>
          <w:rFonts w:ascii="Arial" w:cs="Arial" w:eastAsia="Arial" w:hAnsi="Arial"/>
          <w:b/>
          <w:bCs/>
          <w:color w:val="148F77"/>
          <w:sz w:val="26"/>
          <w:szCs w:val="26"/>
        </w:rPr>
        <w:t xml:space="preserve">8.2 Filtres et type de vue</w:t>
      </w:r>
    </w:p>
    <w:p>
      <w:pPr>
        <w:pStyle w:val="ListParagraph"/>
        <w:numPr>
          <w:ilvl w:val="0"/>
          <w:numId w:val="3"/>
        </w:numPr>
        <w:spacing w:after="80"/>
      </w:pPr>
      <w:r>
        <w:rPr>
          <w:rFonts w:ascii="Arial" w:cs="Arial" w:eastAsia="Arial" w:hAnsi="Arial"/>
          <w:b/>
          <w:bCs/>
          <w:color w:val="1C2833"/>
          <w:sz w:val="22"/>
          <w:szCs w:val="22"/>
        </w:rPr>
        <w:t xml:space="preserve">Boutons de type : </w:t>
      </w:r>
      <w:r>
        <w:rPr>
          <w:rFonts w:ascii="Arial" w:cs="Arial" w:eastAsia="Arial" w:hAnsi="Arial"/>
          <w:color w:val="1C2833"/>
          <w:sz w:val="22"/>
          <w:szCs w:val="22"/>
        </w:rPr>
        <w:t xml:space="preserve">Vol de carburant, Écart de poids, Arrêt non autorisé, Déviation, Hors horaires. Cliquer pour filtrer.</w:t>
      </w:r>
    </w:p>
    <w:p>
      <w:pPr>
        <w:pStyle w:val="ListParagraph"/>
        <w:numPr>
          <w:ilvl w:val="0"/>
          <w:numId w:val="3"/>
        </w:numPr>
        <w:spacing w:after="80"/>
      </w:pPr>
      <w:r>
        <w:rPr>
          <w:rFonts w:ascii="Arial" w:cs="Arial" w:eastAsia="Arial" w:hAnsi="Arial"/>
          <w:b/>
          <w:bCs/>
          <w:color w:val="1C2833"/>
          <w:sz w:val="22"/>
          <w:szCs w:val="22"/>
        </w:rPr>
        <w:t xml:space="preserve">Onglets de statut : </w:t>
      </w:r>
      <w:r>
        <w:rPr>
          <w:rFonts w:ascii="Arial" w:cs="Arial" w:eastAsia="Arial" w:hAnsi="Arial"/>
          <w:color w:val="1C2833"/>
          <w:sz w:val="22"/>
          <w:szCs w:val="22"/>
        </w:rPr>
        <w:t xml:space="preserve">Tous, En attente, Confirmés, Examinés, Rejetés.</w:t>
      </w:r>
    </w:p>
    <w:p>
      <w:pPr>
        <w:pStyle w:val="ListParagraph"/>
        <w:numPr>
          <w:ilvl w:val="0"/>
          <w:numId w:val="3"/>
        </w:numPr>
        <w:spacing w:after="80"/>
      </w:pPr>
      <w:r>
        <w:rPr>
          <w:rFonts w:ascii="Arial" w:cs="Arial" w:eastAsia="Arial" w:hAnsi="Arial"/>
          <w:b/>
          <w:bCs/>
          <w:color w:val="1C2833"/>
          <w:sz w:val="22"/>
          <w:szCs w:val="22"/>
        </w:rPr>
        <w:t xml:space="preserve">Filtres avancés : </w:t>
      </w:r>
      <w:r>
        <w:rPr>
          <w:rFonts w:ascii="Arial" w:cs="Arial" w:eastAsia="Arial" w:hAnsi="Arial"/>
          <w:color w:val="1C2833"/>
          <w:sz w:val="22"/>
          <w:szCs w:val="22"/>
        </w:rPr>
        <w:t xml:space="preserve">cliquer sur « Filtres » pour affiner par sévérité, camion, période.</w:t>
      </w:r>
    </w:p>
    <w:p>
      <w:pPr>
        <w:spacing w:after="80"/>
      </w:pPr>
    </w:p>
    <w:p>
      <w:pPr>
        <w:pStyle w:val="Heading2"/>
        <w:spacing w:after="160" w:before="300"/>
      </w:pPr>
      <w:r>
        <w:rPr>
          <w:rFonts w:ascii="Arial" w:cs="Arial" w:eastAsia="Arial" w:hAnsi="Arial"/>
          <w:b/>
          <w:bCs/>
          <w:color w:val="148F77"/>
          <w:sz w:val="26"/>
          <w:szCs w:val="26"/>
        </w:rPr>
        <w:t xml:space="preserve">8.3 Carte des incidents</w:t>
      </w:r>
    </w:p>
    <w:p>
      <w:pPr>
        <w:spacing w:after="140"/>
        <w:jc w:val="both"/>
      </w:pPr>
      <w:r>
        <w:rPr>
          <w:rFonts w:ascii="Arial" w:cs="Arial" w:eastAsia="Arial" w:hAnsi="Arial"/>
          <w:color w:val="1C2833"/>
          <w:sz w:val="22"/>
          <w:szCs w:val="22"/>
        </w:rPr>
        <w:t xml:space="preserve">Quand des incidents possèdent des coordonnées GPS, une carte interactive les affiche avec des marqueurs colorés par type. Cliquer sur un marqueur pour voir le résumé et accéder au détail.</w:t>
      </w:r>
    </w:p>
    <w:p>
      <w:pPr>
        <w:spacing w:after="80"/>
      </w:pPr>
    </w:p>
    <w:p>
      <w:pPr>
        <w:pStyle w:val="Heading2"/>
        <w:spacing w:after="160" w:before="300"/>
      </w:pPr>
      <w:r>
        <w:rPr>
          <w:rFonts w:ascii="Arial" w:cs="Arial" w:eastAsia="Arial" w:hAnsi="Arial"/>
          <w:b/>
          <w:bCs/>
          <w:color w:val="148F77"/>
          <w:sz w:val="26"/>
          <w:szCs w:val="26"/>
        </w:rPr>
        <w:t xml:space="preserve">8.4 Détail et actions</w:t>
      </w:r>
    </w:p>
    <w:p>
      <w:pPr>
        <w:spacing w:after="140"/>
        <w:jc w:val="both"/>
      </w:pPr>
      <w:r>
        <w:rPr>
          <w:rFonts w:ascii="Arial" w:cs="Arial" w:eastAsia="Arial" w:hAnsi="Arial"/>
          <w:color w:val="1C2833"/>
          <w:sz w:val="22"/>
          <w:szCs w:val="22"/>
        </w:rPr>
        <w:t xml:space="preserve">Cliquer sur un incident ouvre sa page de détail avec :</w:t>
      </w:r>
    </w:p>
    <w:p>
      <w:pPr>
        <w:pStyle w:val="ListParagraph"/>
        <w:numPr>
          <w:ilvl w:val="0"/>
          <w:numId w:val="3"/>
        </w:numPr>
        <w:spacing w:after="80"/>
      </w:pPr>
      <w:r>
        <w:rPr>
          <w:rFonts w:ascii="Arial" w:cs="Arial" w:eastAsia="Arial" w:hAnsi="Arial"/>
          <w:color w:val="1C2833"/>
          <w:sz w:val="22"/>
          <w:szCs w:val="22"/>
        </w:rPr>
        <w:t xml:space="preserve">Le titre et la sévérité de l’incident</w:t>
      </w:r>
    </w:p>
    <w:p>
      <w:pPr>
        <w:pStyle w:val="ListParagraph"/>
        <w:numPr>
          <w:ilvl w:val="0"/>
          <w:numId w:val="3"/>
        </w:numPr>
        <w:spacing w:after="80"/>
      </w:pPr>
      <w:r>
        <w:rPr>
          <w:rFonts w:ascii="Arial" w:cs="Arial" w:eastAsia="Arial" w:hAnsi="Arial"/>
          <w:color w:val="1C2833"/>
          <w:sz w:val="22"/>
          <w:szCs w:val="22"/>
        </w:rPr>
        <w:t xml:space="preserve">Le camion et la mission de transport concernés (avec liens directs)</w:t>
      </w:r>
    </w:p>
    <w:p>
      <w:pPr>
        <w:pStyle w:val="ListParagraph"/>
        <w:numPr>
          <w:ilvl w:val="0"/>
          <w:numId w:val="3"/>
        </w:numPr>
        <w:spacing w:after="80"/>
      </w:pPr>
      <w:r>
        <w:rPr>
          <w:rFonts w:ascii="Arial" w:cs="Arial" w:eastAsia="Arial" w:hAnsi="Arial"/>
          <w:color w:val="1C2833"/>
          <w:sz w:val="22"/>
          <w:szCs w:val="22"/>
        </w:rPr>
        <w:t xml:space="preserve">La localisation exacte sur une carte</w:t>
      </w:r>
    </w:p>
    <w:p>
      <w:pPr>
        <w:pStyle w:val="ListParagraph"/>
        <w:numPr>
          <w:ilvl w:val="0"/>
          <w:numId w:val="3"/>
        </w:numPr>
        <w:spacing w:after="80"/>
      </w:pPr>
      <w:r>
        <w:rPr>
          <w:rFonts w:ascii="Arial" w:cs="Arial" w:eastAsia="Arial" w:hAnsi="Arial"/>
          <w:color w:val="1C2833"/>
          <w:sz w:val="22"/>
          <w:szCs w:val="22"/>
        </w:rPr>
        <w:t xml:space="preserve">Les preuves détaillées (heures, durées, niveaux de carburant, poids)</w:t>
      </w:r>
    </w:p>
    <w:p>
      <w:pPr>
        <w:pStyle w:val="ListParagraph"/>
        <w:numPr>
          <w:ilvl w:val="0"/>
          <w:numId w:val="3"/>
        </w:numPr>
        <w:spacing w:after="80"/>
      </w:pPr>
      <w:r>
        <w:rPr>
          <w:rFonts w:ascii="Arial" w:cs="Arial" w:eastAsia="Arial" w:hAnsi="Arial"/>
          <w:color w:val="1C2833"/>
          <w:sz w:val="22"/>
          <w:szCs w:val="22"/>
        </w:rPr>
        <w:t xml:space="preserve">Les boutons d’action pour le Manager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Action</w:t>
            </w:r>
          </w:p>
        </w:tc>
        <w:tc>
          <w:tcPr>
            <w:tcW w:type="dxa" w:w="6526"/>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Quand l’utiliser</w:t>
            </w:r>
          </w:p>
        </w:tc>
      </w:tr>
      <w:tr>
        <w:tc>
          <w:tcPr>
            <w:tcW w:type="dxa" w:w="2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Confirmer le vol</w:t>
            </w:r>
          </w:p>
        </w:tc>
        <w:tc>
          <w:tcPr>
            <w:tcW w:type="dxa" w:w="65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Le Manager a vérifié : c’est un vol avéré. L’incident est archivé comme preuve.</w:t>
            </w:r>
          </w:p>
        </w:tc>
      </w:tr>
      <w:tr>
        <w:tc>
          <w:tcPr>
            <w:tcW w:type="dxa" w:w="25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Marquer comme examiné</w:t>
            </w:r>
          </w:p>
        </w:tc>
        <w:tc>
          <w:tcPr>
            <w:tcW w:type="dxa" w:w="65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L’incident a été pris en compte. Investigation en cours ou à surveiller.</w:t>
            </w:r>
          </w:p>
        </w:tc>
      </w:tr>
      <w:tr>
        <w:tc>
          <w:tcPr>
            <w:tcW w:type="dxa" w:w="2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Rejeter (faux positif)</w:t>
            </w:r>
          </w:p>
        </w:tc>
        <w:tc>
          <w:tcPr>
            <w:tcW w:type="dxa" w:w="65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C’est une fausse alerte (arrêt légitime, erreur de pesée, etc.). Le Manager ajoute une note expliquant pourquoi.</w:t>
            </w:r>
          </w:p>
        </w:tc>
      </w:tr>
    </w:tbl>
    <w:p>
      <w:r>
        <w:br w:type="page"/>
      </w:r>
    </w:p>
    <w:p>
      <w:pPr>
        <w:pStyle w:val="Heading1"/>
        <w:spacing w:after="200" w:before="400"/>
      </w:pPr>
      <w:r>
        <w:rPr>
          <w:rFonts w:ascii="Arial" w:cs="Arial" w:eastAsia="Arial" w:hAnsi="Arial"/>
          <w:b/>
          <w:bCs/>
          <w:color w:val="0E6655"/>
          <w:sz w:val="32"/>
          <w:szCs w:val="32"/>
        </w:rPr>
        <w:t xml:space="preserve">9. Reprise de Trajet</w:t>
      </w:r>
    </w:p>
    <w:p>
      <w:pPr>
        <w:spacing w:after="140"/>
        <w:jc w:val="both"/>
      </w:pPr>
      <w:r>
        <w:rPr>
          <w:rFonts w:ascii="Arial" w:cs="Arial" w:eastAsia="Arial" w:hAnsi="Arial"/>
          <w:color w:val="1C2833"/>
          <w:sz w:val="22"/>
          <w:szCs w:val="22"/>
        </w:rPr>
        <w:t xml:space="preserve">Pour comprendre exactement ce qui s’est passé pendant une livraison, la fonction de reprise de trajet reconstruit le parcours complet du camion sur une carte.</w:t>
      </w:r>
    </w:p>
    <w:p>
      <w:pPr>
        <w:spacing w:after="80"/>
      </w:pPr>
    </w:p>
    <w:p>
      <w:pPr>
        <w:pStyle w:val="Heading2"/>
        <w:spacing w:after="160" w:before="300"/>
      </w:pPr>
      <w:r>
        <w:rPr>
          <w:rFonts w:ascii="Arial" w:cs="Arial" w:eastAsia="Arial" w:hAnsi="Arial"/>
          <w:b/>
          <w:bCs/>
          <w:color w:val="148F77"/>
          <w:sz w:val="26"/>
          <w:szCs w:val="26"/>
        </w:rPr>
        <w:t xml:space="preserve">9.1 Comment y accéder</w:t>
      </w:r>
    </w:p>
    <w:p>
      <w:pPr>
        <w:spacing w:after="140"/>
        <w:jc w:val="both"/>
      </w:pPr>
      <w:r>
        <w:rPr>
          <w:rFonts w:ascii="Arial" w:cs="Arial" w:eastAsia="Arial" w:hAnsi="Arial"/>
          <w:color w:val="1C2833"/>
          <w:sz w:val="22"/>
          <w:szCs w:val="22"/>
        </w:rPr>
        <w:t xml:space="preserve">Depuis la fiche d’une rotation de transport, cliquez sur le lien « Voir la reprise du trajet ». La page charge les données GPS du camion pendant la période de la mission.</w:t>
      </w:r>
    </w:p>
    <w:p>
      <w:pPr>
        <w:spacing w:after="80"/>
      </w:pPr>
    </w:p>
    <w:p>
      <w:pPr>
        <w:pStyle w:val="Heading2"/>
        <w:spacing w:after="160" w:before="300"/>
      </w:pPr>
      <w:r>
        <w:rPr>
          <w:rFonts w:ascii="Arial" w:cs="Arial" w:eastAsia="Arial" w:hAnsi="Arial"/>
          <w:b/>
          <w:bCs/>
          <w:color w:val="148F77"/>
          <w:sz w:val="26"/>
          <w:szCs w:val="26"/>
        </w:rPr>
        <w:t xml:space="preserve">9.2 Ce que vous voyez</w:t>
      </w:r>
    </w:p>
    <w:p>
      <w:pPr>
        <w:pStyle w:val="ListParagraph"/>
        <w:numPr>
          <w:ilvl w:val="0"/>
          <w:numId w:val="3"/>
        </w:numPr>
        <w:spacing w:after="80"/>
      </w:pPr>
      <w:r>
        <w:rPr>
          <w:rFonts w:ascii="Arial" w:cs="Arial" w:eastAsia="Arial" w:hAnsi="Arial"/>
          <w:b/>
          <w:bCs/>
          <w:color w:val="1C2833"/>
          <w:sz w:val="22"/>
          <w:szCs w:val="22"/>
        </w:rPr>
        <w:t xml:space="preserve">Ligne de parcours : </w:t>
      </w:r>
      <w:r>
        <w:rPr>
          <w:rFonts w:ascii="Arial" w:cs="Arial" w:eastAsia="Arial" w:hAnsi="Arial"/>
          <w:color w:val="1C2833"/>
          <w:sz w:val="22"/>
          <w:szCs w:val="22"/>
        </w:rPr>
        <w:t xml:space="preserve">le tracé GPS complet du camion en bleu sur la carte.</w:t>
      </w:r>
    </w:p>
    <w:p>
      <w:pPr>
        <w:pStyle w:val="ListParagraph"/>
        <w:numPr>
          <w:ilvl w:val="0"/>
          <w:numId w:val="3"/>
        </w:numPr>
        <w:spacing w:after="80"/>
      </w:pPr>
      <w:r>
        <w:rPr>
          <w:rFonts w:ascii="Arial" w:cs="Arial" w:eastAsia="Arial" w:hAnsi="Arial"/>
          <w:b/>
          <w:bCs/>
          <w:color w:val="1C2833"/>
          <w:sz w:val="22"/>
          <w:szCs w:val="22"/>
        </w:rPr>
        <w:t xml:space="preserve">Point de départ (vert) : </w:t>
      </w:r>
      <w:r>
        <w:rPr>
          <w:rFonts w:ascii="Arial" w:cs="Arial" w:eastAsia="Arial" w:hAnsi="Arial"/>
          <w:color w:val="1C2833"/>
          <w:sz w:val="22"/>
          <w:szCs w:val="22"/>
        </w:rPr>
        <w:t xml:space="preserve">première position enregistrée.</w:t>
      </w:r>
    </w:p>
    <w:p>
      <w:pPr>
        <w:pStyle w:val="ListParagraph"/>
        <w:numPr>
          <w:ilvl w:val="0"/>
          <w:numId w:val="3"/>
        </w:numPr>
        <w:spacing w:after="80"/>
      </w:pPr>
      <w:r>
        <w:rPr>
          <w:rFonts w:ascii="Arial" w:cs="Arial" w:eastAsia="Arial" w:hAnsi="Arial"/>
          <w:b/>
          <w:bCs/>
          <w:color w:val="1C2833"/>
          <w:sz w:val="22"/>
          <w:szCs w:val="22"/>
        </w:rPr>
        <w:t xml:space="preserve">Point d’arrivée (bleu) : </w:t>
      </w:r>
      <w:r>
        <w:rPr>
          <w:rFonts w:ascii="Arial" w:cs="Arial" w:eastAsia="Arial" w:hAnsi="Arial"/>
          <w:color w:val="1C2833"/>
          <w:sz w:val="22"/>
          <w:szCs w:val="22"/>
        </w:rPr>
        <w:t xml:space="preserve">dernière position enregistrée.</w:t>
      </w:r>
    </w:p>
    <w:p>
      <w:pPr>
        <w:pStyle w:val="ListParagraph"/>
        <w:numPr>
          <w:ilvl w:val="0"/>
          <w:numId w:val="3"/>
        </w:numPr>
        <w:spacing w:after="80"/>
      </w:pPr>
      <w:r>
        <w:rPr>
          <w:rFonts w:ascii="Arial" w:cs="Arial" w:eastAsia="Arial" w:hAnsi="Arial"/>
          <w:b/>
          <w:bCs/>
          <w:color w:val="1C2833"/>
          <w:sz w:val="22"/>
          <w:szCs w:val="22"/>
        </w:rPr>
        <w:t xml:space="preserve">Arrêts (cercles colorés) : </w:t>
      </w:r>
      <w:r>
        <w:rPr>
          <w:rFonts w:ascii="Arial" w:cs="Arial" w:eastAsia="Arial" w:hAnsi="Arial"/>
          <w:color w:val="1C2833"/>
          <w:sz w:val="22"/>
          <w:szCs w:val="22"/>
        </w:rPr>
        <w:t xml:space="preserve">vert = lieu connu (base, station), rouge = lieu inconnu (suspect).</w:t>
      </w:r>
    </w:p>
    <w:p>
      <w:pPr>
        <w:pStyle w:val="ListParagraph"/>
        <w:numPr>
          <w:ilvl w:val="0"/>
          <w:numId w:val="3"/>
        </w:numPr>
        <w:spacing w:after="80"/>
      </w:pPr>
      <w:r>
        <w:rPr>
          <w:rFonts w:ascii="Arial" w:cs="Arial" w:eastAsia="Arial" w:hAnsi="Arial"/>
          <w:b/>
          <w:bCs/>
          <w:color w:val="1C2833"/>
          <w:sz w:val="22"/>
          <w:szCs w:val="22"/>
        </w:rPr>
        <w:t xml:space="preserve">Incidents (marqueurs rouges) : </w:t>
      </w:r>
      <w:r>
        <w:rPr>
          <w:rFonts w:ascii="Arial" w:cs="Arial" w:eastAsia="Arial" w:hAnsi="Arial"/>
          <w:color w:val="1C2833"/>
          <w:sz w:val="22"/>
          <w:szCs w:val="22"/>
        </w:rPr>
        <w:t xml:space="preserve">anomalies détectées pendant ce trajet spécifique.</w:t>
      </w:r>
    </w:p>
    <w:p>
      <w:pPr>
        <w:spacing w:after="80"/>
      </w:pPr>
    </w:p>
    <w:p>
      <w:pPr>
        <w:pStyle w:val="Heading2"/>
        <w:spacing w:after="160" w:before="300"/>
      </w:pPr>
      <w:r>
        <w:rPr>
          <w:rFonts w:ascii="Arial" w:cs="Arial" w:eastAsia="Arial" w:hAnsi="Arial"/>
          <w:b/>
          <w:bCs/>
          <w:color w:val="148F77"/>
          <w:sz w:val="26"/>
          <w:szCs w:val="26"/>
        </w:rPr>
        <w:t xml:space="preserve">9.3 Tableau des arrêts</w:t>
      </w:r>
    </w:p>
    <w:p>
      <w:pPr>
        <w:spacing w:after="140"/>
        <w:jc w:val="both"/>
      </w:pPr>
      <w:r>
        <w:rPr>
          <w:rFonts w:ascii="Arial" w:cs="Arial" w:eastAsia="Arial" w:hAnsi="Arial"/>
          <w:color w:val="1C2833"/>
          <w:sz w:val="22"/>
          <w:szCs w:val="22"/>
        </w:rPr>
        <w:t xml:space="preserve">Sous la carte, un tableau liste chaque arrêt avec : heure de début et fin, durée, classification (base connue, station, inconnu), nom du lieu si connu, et variation de carburant pendant l’arrêt.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BABB" w:sz="1"/>
              <w:left w:val="single" w:color="0E6655" w:sz="8"/>
              <w:bottom w:val="single" w:color="B2BABB" w:sz="1"/>
              <w:right w:val="single" w:color="B2BABB" w:sz="1"/>
            </w:tcBorders>
            <w:shd w:fill="E8F6F3" w:val="clear"/>
            <w:tcMar>
              <w:top w:type="dxa" w:w="100"/>
              <w:left w:type="dxa" w:w="200"/>
              <w:bottom w:type="dxa" w:w="100"/>
              <w:right w:type="dxa" w:w="200"/>
            </w:tcMar>
          </w:tcPr>
          <w:p>
            <w:pPr>
              <w:spacing w:after="60"/>
            </w:pPr>
            <w:r>
              <w:rPr>
                <w:rFonts w:ascii="Arial" w:cs="Arial" w:eastAsia="Arial" w:hAnsi="Arial"/>
                <w:b/>
                <w:bCs/>
                <w:color w:val="0E6655"/>
                <w:sz w:val="21"/>
                <w:szCs w:val="21"/>
              </w:rPr>
              <w:t xml:space="preserve">Astuce</w:t>
            </w:r>
          </w:p>
          <w:p>
            <w:r>
              <w:rPr>
                <w:rFonts w:ascii="Arial" w:cs="Arial" w:eastAsia="Arial" w:hAnsi="Arial"/>
                <w:color w:val="1C2833"/>
                <w:sz w:val="20"/>
                <w:szCs w:val="20"/>
              </w:rPr>
              <w:t xml:space="preserve">Une baisse de carburant pendant un arrêt à un lieu inconnu est un signal fort de siphonnage. Le système le détecte automatiquement, mais la reprise de trajet vous permet de visualiser exactement où et quand cela s’est produit.</w:t>
            </w:r>
          </w:p>
        </w:tc>
      </w:tr>
    </w:tbl>
    <w:p>
      <w:r>
        <w:br w:type="page"/>
      </w:r>
    </w:p>
    <w:p>
      <w:pPr>
        <w:pStyle w:val="Heading1"/>
        <w:spacing w:after="200" w:before="400"/>
      </w:pPr>
      <w:r>
        <w:rPr>
          <w:rFonts w:ascii="Arial" w:cs="Arial" w:eastAsia="Arial" w:hAnsi="Arial"/>
          <w:b/>
          <w:bCs/>
          <w:color w:val="0E6655"/>
          <w:sz w:val="32"/>
          <w:szCs w:val="32"/>
        </w:rPr>
        <w:t xml:space="preserve">10. Lieux et Géofences</w:t>
      </w:r>
    </w:p>
    <w:p>
      <w:pPr>
        <w:spacing w:after="140"/>
        <w:jc w:val="both"/>
      </w:pPr>
      <w:r>
        <w:rPr>
          <w:rFonts w:ascii="Arial" w:cs="Arial" w:eastAsia="Arial" w:hAnsi="Arial"/>
          <w:color w:val="1C2833"/>
          <w:sz w:val="22"/>
          <w:szCs w:val="22"/>
        </w:rPr>
        <w:t xml:space="preserve">Un « lieu » (ou géofence) est une zone géographique circulaire autour d’un point. Le système utilise ces lieux pour distinguer les arrêts légitimes des arrêts suspects.</w:t>
      </w:r>
    </w:p>
    <w:p>
      <w:pPr>
        <w:spacing w:after="80"/>
      </w:pPr>
    </w:p>
    <w:p>
      <w:pPr>
        <w:pStyle w:val="Heading2"/>
        <w:spacing w:after="160" w:before="300"/>
      </w:pPr>
      <w:r>
        <w:rPr>
          <w:rFonts w:ascii="Arial" w:cs="Arial" w:eastAsia="Arial" w:hAnsi="Arial"/>
          <w:b/>
          <w:bCs/>
          <w:color w:val="148F77"/>
          <w:sz w:val="26"/>
          <w:szCs w:val="26"/>
        </w:rPr>
        <w:t xml:space="preserve">10.1 Types de lieux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Type</w:t>
            </w:r>
          </w:p>
        </w:tc>
        <w:tc>
          <w:tcPr>
            <w:tcW w:type="dxa" w:w="6526"/>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Exemple</w:t>
            </w:r>
          </w:p>
        </w:tc>
      </w:tr>
      <w:tr>
        <w:tc>
          <w:tcPr>
            <w:tcW w:type="dxa" w:w="2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Base</w:t>
            </w:r>
          </w:p>
        </w:tc>
        <w:tc>
          <w:tcPr>
            <w:tcW w:type="dxa" w:w="65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Carrière principale, parking de nuit. Détecté automatiquement.</w:t>
            </w:r>
          </w:p>
        </w:tc>
      </w:tr>
      <w:tr>
        <w:tc>
          <w:tcPr>
            <w:tcW w:type="dxa" w:w="25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Site fournisseur</w:t>
            </w:r>
          </w:p>
        </w:tc>
        <w:tc>
          <w:tcPr>
            <w:tcW w:type="dxa" w:w="65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Carrière d’un fournisseur de basalte.</w:t>
            </w:r>
          </w:p>
        </w:tc>
      </w:tr>
      <w:tr>
        <w:tc>
          <w:tcPr>
            <w:tcW w:type="dxa" w:w="2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Site client</w:t>
            </w:r>
          </w:p>
        </w:tc>
        <w:tc>
          <w:tcPr>
            <w:tcW w:type="dxa" w:w="65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Chantier ou dépôt de livraison.</w:t>
            </w:r>
          </w:p>
        </w:tc>
      </w:tr>
      <w:tr>
        <w:tc>
          <w:tcPr>
            <w:tcW w:type="dxa" w:w="25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Station-service</w:t>
            </w:r>
          </w:p>
        </w:tc>
        <w:tc>
          <w:tcPr>
            <w:tcW w:type="dxa" w:w="65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Station où les camions font le plein.</w:t>
            </w:r>
          </w:p>
        </w:tc>
      </w:tr>
      <w:tr>
        <w:tc>
          <w:tcPr>
            <w:tcW w:type="dxa" w:w="2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Parking</w:t>
            </w:r>
          </w:p>
        </w:tc>
        <w:tc>
          <w:tcPr>
            <w:tcW w:type="dxa" w:w="65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Aire de repos autorisée.</w:t>
            </w:r>
          </w:p>
        </w:tc>
      </w:tr>
    </w:tbl>
    <w:p>
      <w:pPr>
        <w:spacing w:after="80"/>
      </w:pPr>
    </w:p>
    <w:p>
      <w:pPr>
        <w:pStyle w:val="Heading2"/>
        <w:spacing w:after="160" w:before="300"/>
      </w:pPr>
      <w:r>
        <w:rPr>
          <w:rFonts w:ascii="Arial" w:cs="Arial" w:eastAsia="Arial" w:hAnsi="Arial"/>
          <w:b/>
          <w:bCs/>
          <w:color w:val="148F77"/>
          <w:sz w:val="26"/>
          <w:szCs w:val="26"/>
        </w:rPr>
        <w:t xml:space="preserve">10.2 Apprentissage automatique</w:t>
      </w:r>
    </w:p>
    <w:p>
      <w:pPr>
        <w:spacing w:after="140"/>
        <w:jc w:val="both"/>
      </w:pPr>
      <w:r>
        <w:rPr>
          <w:rFonts w:ascii="Arial" w:cs="Arial" w:eastAsia="Arial" w:hAnsi="Arial"/>
          <w:color w:val="1C2833"/>
          <w:sz w:val="22"/>
          <w:szCs w:val="22"/>
        </w:rPr>
        <w:t xml:space="preserve">Chaque nuit, le système analyse les données de stationnement des 30 derniers jours. Les endroits où les camions se garent régulièrement pendant plus de 2 heures sont automatiquement enregistrés comme « bases ». Ces lieux auto-détectés sont rafraîchis chaque nuit.</w:t>
      </w:r>
    </w:p>
    <w:p>
      <w:pPr>
        <w:spacing w:after="80"/>
      </w:pPr>
    </w:p>
    <w:p>
      <w:pPr>
        <w:pStyle w:val="Heading2"/>
        <w:spacing w:after="160" w:before="300"/>
      </w:pPr>
      <w:r>
        <w:rPr>
          <w:rFonts w:ascii="Arial" w:cs="Arial" w:eastAsia="Arial" w:hAnsi="Arial"/>
          <w:b/>
          <w:bCs/>
          <w:color w:val="148F77"/>
          <w:sz w:val="26"/>
          <w:szCs w:val="26"/>
        </w:rPr>
        <w:t xml:space="preserve">10.3 Création manuelle</w:t>
      </w:r>
    </w:p>
    <w:p>
      <w:pPr>
        <w:spacing w:after="140"/>
        <w:jc w:val="both"/>
      </w:pPr>
      <w:r>
        <w:rPr>
          <w:rFonts w:ascii="Arial" w:cs="Arial" w:eastAsia="Arial" w:hAnsi="Arial"/>
          <w:color w:val="1C2833"/>
          <w:sz w:val="22"/>
          <w:szCs w:val="22"/>
        </w:rPr>
        <w:t xml:space="preserve">L’administrateur peut créer des lieux manuellement : nom, type, coordonnées GPS (latitude/longitude), rayon en mètres. Une prévisualisation sur carte montre le cercle du géofence avant enregistrement.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BABB" w:sz="1"/>
              <w:left w:val="single" w:color="0E6655" w:sz="8"/>
              <w:bottom w:val="single" w:color="B2BABB" w:sz="1"/>
              <w:right w:val="single" w:color="B2BABB" w:sz="1"/>
            </w:tcBorders>
            <w:shd w:fill="D4EFDF" w:val="clear"/>
            <w:tcMar>
              <w:top w:type="dxa" w:w="100"/>
              <w:left w:type="dxa" w:w="200"/>
              <w:bottom w:type="dxa" w:w="100"/>
              <w:right w:type="dxa" w:w="200"/>
            </w:tcMar>
          </w:tcPr>
          <w:p>
            <w:pPr>
              <w:spacing w:after="60"/>
            </w:pPr>
            <w:r>
              <w:rPr>
                <w:rFonts w:ascii="Arial" w:cs="Arial" w:eastAsia="Arial" w:hAnsi="Arial"/>
                <w:b/>
                <w:bCs/>
                <w:color w:val="0E6655"/>
                <w:sz w:val="21"/>
                <w:szCs w:val="21"/>
              </w:rPr>
              <w:t xml:space="preserve">Conseil important</w:t>
            </w:r>
          </w:p>
          <w:p>
            <w:r>
              <w:rPr>
                <w:rFonts w:ascii="Arial" w:cs="Arial" w:eastAsia="Arial" w:hAnsi="Arial"/>
                <w:color w:val="1C2833"/>
                <w:sz w:val="20"/>
                <w:szCs w:val="20"/>
              </w:rPr>
              <w:t xml:space="preserve">Créez des lieux pour les stations-service et restaurants habituels sur les routes de livraison. Cela évitera que le système ne signale un arrêt normal comme suspect et réduira considérablement les faux positifs.</w:t>
            </w:r>
          </w:p>
        </w:tc>
      </w:tr>
    </w:tbl>
    <w:p>
      <w:r>
        <w:br w:type="page"/>
      </w:r>
    </w:p>
    <w:p>
      <w:pPr>
        <w:pStyle w:val="Heading1"/>
        <w:spacing w:after="200" w:before="400"/>
      </w:pPr>
      <w:r>
        <w:rPr>
          <w:rFonts w:ascii="Arial" w:cs="Arial" w:eastAsia="Arial" w:hAnsi="Arial"/>
          <w:b/>
          <w:bCs/>
          <w:color w:val="0E6655"/>
          <w:sz w:val="32"/>
          <w:szCs w:val="32"/>
        </w:rPr>
        <w:t xml:space="preserve">11. Maintenance Préventive</w:t>
      </w:r>
    </w:p>
    <w:p>
      <w:pPr>
        <w:spacing w:after="140"/>
        <w:jc w:val="both"/>
      </w:pPr>
      <w:r>
        <w:rPr>
          <w:rFonts w:ascii="Arial" w:cs="Arial" w:eastAsia="Arial" w:hAnsi="Arial"/>
          <w:color w:val="1C2833"/>
          <w:sz w:val="22"/>
          <w:szCs w:val="22"/>
        </w:rPr>
        <w:t xml:space="preserve">Le module de maintenance anticipe les besoins d’entretien avant qu’une panne ne survienne. Chaque camion peut utiliser l’un des deux systèmes suivants :</w:t>
      </w:r>
    </w:p>
    <w:p>
      <w:pPr>
        <w:spacing w:after="80"/>
      </w:pPr>
    </w:p>
    <w:p>
      <w:pPr>
        <w:pStyle w:val="Heading2"/>
        <w:spacing w:after="160" w:before="300"/>
      </w:pPr>
      <w:r>
        <w:rPr>
          <w:rFonts w:ascii="Arial" w:cs="Arial" w:eastAsia="Arial" w:hAnsi="Arial"/>
          <w:b/>
          <w:bCs/>
          <w:color w:val="148F77"/>
          <w:sz w:val="26"/>
          <w:szCs w:val="26"/>
        </w:rPr>
        <w:t xml:space="preserve">11.1 Maintenance par rotations</w:t>
      </w:r>
    </w:p>
    <w:p>
      <w:pPr>
        <w:spacing w:after="140"/>
        <w:jc w:val="both"/>
      </w:pPr>
      <w:r>
        <w:rPr>
          <w:rFonts w:ascii="Arial" w:cs="Arial" w:eastAsia="Arial" w:hAnsi="Arial"/>
          <w:color w:val="1C2833"/>
          <w:sz w:val="22"/>
          <w:szCs w:val="22"/>
        </w:rPr>
        <w:t xml:space="preserve">Le système compte le nombre de rotations de transport effectuées depuis la dernière maintenance. Après 12 rotations, la maintenance est requise. Ce mode est adapté à la maintenance des pneus (usure liée au nombre de trajets, pas seulement aux kilomètres).</w:t>
      </w:r>
    </w:p>
    <w:p>
      <w:pPr>
        <w:spacing w:after="80"/>
      </w:pPr>
    </w:p>
    <w:p>
      <w:pPr>
        <w:pStyle w:val="Heading2"/>
        <w:spacing w:after="160" w:before="300"/>
      </w:pPr>
      <w:r>
        <w:rPr>
          <w:rFonts w:ascii="Arial" w:cs="Arial" w:eastAsia="Arial" w:hAnsi="Arial"/>
          <w:b/>
          <w:bCs/>
          <w:color w:val="148F77"/>
          <w:sz w:val="26"/>
          <w:szCs w:val="26"/>
        </w:rPr>
        <w:t xml:space="preserve">11.2 Maintenance par kilométrage</w:t>
      </w:r>
    </w:p>
    <w:p>
      <w:pPr>
        <w:spacing w:after="140"/>
        <w:jc w:val="both"/>
      </w:pPr>
      <w:r>
        <w:rPr>
          <w:rFonts w:ascii="Arial" w:cs="Arial" w:eastAsia="Arial" w:hAnsi="Arial"/>
          <w:color w:val="1C2833"/>
          <w:sz w:val="22"/>
          <w:szCs w:val="22"/>
        </w:rPr>
        <w:t xml:space="preserve">Le système surveille le compteur kilométrique (mis à jour automatiquement via le GPS). Quand le seuil est atteint, la maintenance est due. Chaque type de maintenance a son propre intervalle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Type</w:t>
            </w:r>
          </w:p>
        </w:tc>
        <w:tc>
          <w:tcPr>
            <w:tcW w:type="dxa" w:w="2000"/>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Intervalle par défaut</w:t>
            </w:r>
          </w:p>
        </w:tc>
        <w:tc>
          <w:tcPr>
            <w:tcW w:type="dxa" w:w="4526"/>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Adaptation</w:t>
            </w:r>
          </w:p>
        </w:tc>
      </w:tr>
      <w:tr>
        <w:tc>
          <w:tcPr>
            <w:tcW w:type="dxa" w:w="2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Général</w:t>
            </w:r>
          </w:p>
        </w:tc>
        <w:tc>
          <w:tcPr>
            <w:tcW w:type="dxa" w:w="20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10 000 km</w:t>
            </w:r>
          </w:p>
        </w:tc>
        <w:tc>
          <w:tcPr>
            <w:tcW w:type="dxa" w:w="45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Révision complète du véhicule</w:t>
            </w:r>
          </w:p>
        </w:tc>
      </w:tr>
      <w:tr>
        <w:tc>
          <w:tcPr>
            <w:tcW w:type="dxa" w:w="25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Huile</w:t>
            </w:r>
          </w:p>
        </w:tc>
        <w:tc>
          <w:tcPr>
            <w:tcW w:type="dxa" w:w="20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10 000 km</w:t>
            </w:r>
          </w:p>
        </w:tc>
        <w:tc>
          <w:tcPr>
            <w:tcW w:type="dxa" w:w="45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Vidange moteur</w:t>
            </w:r>
          </w:p>
        </w:tc>
      </w:tr>
      <w:tr>
        <w:tc>
          <w:tcPr>
            <w:tcW w:type="dxa" w:w="2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Pneus</w:t>
            </w:r>
          </w:p>
        </w:tc>
        <w:tc>
          <w:tcPr>
            <w:tcW w:type="dxa" w:w="20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20 000 km</w:t>
            </w:r>
          </w:p>
        </w:tc>
        <w:tc>
          <w:tcPr>
            <w:tcW w:type="dxa" w:w="45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Rotation ou remplacement des pneus</w:t>
            </w:r>
          </w:p>
        </w:tc>
      </w:tr>
      <w:tr>
        <w:tc>
          <w:tcPr>
            <w:tcW w:type="dxa" w:w="25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Filtres</w:t>
            </w:r>
          </w:p>
        </w:tc>
        <w:tc>
          <w:tcPr>
            <w:tcW w:type="dxa" w:w="20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15 000 km</w:t>
            </w:r>
          </w:p>
        </w:tc>
        <w:tc>
          <w:tcPr>
            <w:tcW w:type="dxa" w:w="45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Remplacement des filtres (air, huile, carburant)</w:t>
            </w:r>
          </w:p>
        </w:tc>
      </w:tr>
    </w:tbl>
    <w:p>
      <w:pPr>
        <w:spacing w:after="80"/>
      </w:pPr>
    </w:p>
    <w:p>
      <w:pPr>
        <w:pStyle w:val="Heading2"/>
        <w:spacing w:after="160" w:before="300"/>
      </w:pPr>
      <w:r>
        <w:rPr>
          <w:rFonts w:ascii="Arial" w:cs="Arial" w:eastAsia="Arial" w:hAnsi="Arial"/>
          <w:b/>
          <w:bCs/>
          <w:color w:val="148F77"/>
          <w:sz w:val="26"/>
          <w:szCs w:val="26"/>
        </w:rPr>
        <w:t xml:space="preserve">11.3 Code couleur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Couleur</w:t>
            </w:r>
          </w:p>
        </w:tc>
        <w:tc>
          <w:tcPr>
            <w:tcW w:type="dxa" w:w="2000"/>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État</w:t>
            </w:r>
          </w:p>
        </w:tc>
        <w:tc>
          <w:tcPr>
            <w:tcW w:type="dxa" w:w="5526"/>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Action recommandée</w:t>
            </w:r>
          </w:p>
        </w:tc>
      </w:tr>
      <w:tr>
        <w:tc>
          <w:tcPr>
            <w:tcW w:type="dxa" w:w="1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Vert</w:t>
            </w:r>
          </w:p>
        </w:tc>
        <w:tc>
          <w:tcPr>
            <w:tcW w:type="dxa" w:w="20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Tout va bien</w:t>
            </w:r>
          </w:p>
        </w:tc>
        <w:tc>
          <w:tcPr>
            <w:tcW w:type="dxa" w:w="55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Aucune action. La prochaine maintenance est encore loin.</w:t>
            </w:r>
          </w:p>
        </w:tc>
      </w:tr>
      <w:tr>
        <w:tc>
          <w:tcPr>
            <w:tcW w:type="dxa" w:w="15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Jaune</w:t>
            </w:r>
          </w:p>
        </w:tc>
        <w:tc>
          <w:tcPr>
            <w:tcW w:type="dxa" w:w="20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Bientôt</w:t>
            </w:r>
          </w:p>
        </w:tc>
        <w:tc>
          <w:tcPr>
            <w:tcW w:type="dxa" w:w="55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Planifier la maintenance dans les prochains jours.</w:t>
            </w:r>
          </w:p>
        </w:tc>
      </w:tr>
      <w:tr>
        <w:tc>
          <w:tcPr>
            <w:tcW w:type="dxa" w:w="15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Rouge</w:t>
            </w:r>
          </w:p>
        </w:tc>
        <w:tc>
          <w:tcPr>
            <w:tcW w:type="dxa" w:w="20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Urgente</w:t>
            </w:r>
          </w:p>
        </w:tc>
        <w:tc>
          <w:tcPr>
            <w:tcW w:type="dxa" w:w="55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La maintenance est en retard. Immobiliser le camion dès que possible.</w:t>
            </w:r>
          </w:p>
        </w:tc>
      </w:tr>
    </w:tbl>
    <w:p>
      <w:pPr>
        <w:spacing w:after="80"/>
      </w:pPr>
    </w:p>
    <w:p>
      <w:pPr>
        <w:spacing w:after="140"/>
        <w:jc w:val="both"/>
      </w:pPr>
      <w:r>
        <w:rPr>
          <w:rFonts w:ascii="Arial" w:cs="Arial" w:eastAsia="Arial" w:hAnsi="Arial"/>
          <w:color w:val="1C2833"/>
          <w:sz w:val="22"/>
          <w:szCs w:val="22"/>
        </w:rPr>
        <w:t xml:space="preserve">Le statut est recalculé automatiquement à chaque synchronisation GPS (toutes les 30 minutes). Quand un camion passe au rouge, une alerte est générée.</w:t>
      </w:r>
    </w:p>
    <w:p>
      <w:r>
        <w:br w:type="page"/>
      </w:r>
    </w:p>
    <w:p>
      <w:pPr>
        <w:pStyle w:val="Heading1"/>
        <w:spacing w:after="200" w:before="400"/>
      </w:pPr>
      <w:r>
        <w:rPr>
          <w:rFonts w:ascii="Arial" w:cs="Arial" w:eastAsia="Arial" w:hAnsi="Arial"/>
          <w:b/>
          <w:bCs/>
          <w:color w:val="0E6655"/>
          <w:sz w:val="32"/>
          <w:szCs w:val="32"/>
        </w:rPr>
        <w:t xml:space="preserve">12. Rapports et Exports</w:t>
      </w:r>
    </w:p>
    <w:p>
      <w:pPr>
        <w:pStyle w:val="Heading2"/>
        <w:spacing w:after="160" w:before="300"/>
      </w:pPr>
      <w:r>
        <w:rPr>
          <w:rFonts w:ascii="Arial" w:cs="Arial" w:eastAsia="Arial" w:hAnsi="Arial"/>
          <w:b/>
          <w:bCs/>
          <w:color w:val="148F77"/>
          <w:sz w:val="26"/>
          <w:szCs w:val="26"/>
        </w:rPr>
        <w:t xml:space="preserve">12.1 Export rapide</w:t>
      </w:r>
    </w:p>
    <w:p>
      <w:pPr>
        <w:spacing w:after="140"/>
        <w:jc w:val="both"/>
      </w:pPr>
      <w:r>
        <w:rPr>
          <w:rFonts w:ascii="Arial" w:cs="Arial" w:eastAsia="Arial" w:hAnsi="Arial"/>
          <w:color w:val="1C2833"/>
          <w:sz w:val="22"/>
          <w:szCs w:val="22"/>
        </w:rPr>
        <w:t xml:space="preserve">Chaque tableau de données de l’application (camions, rotations, incidents, lieux, etc.) possède un bouton vert « Excel » dans la barre de recherche. Ce bouton exporte les données actuellement affichées (avec les filtres appliqués) vers un fichier CSV directement ouvrable dans Excel.</w:t>
      </w:r>
    </w:p>
    <w:p>
      <w:pPr>
        <w:spacing w:after="80"/>
      </w:pPr>
    </w:p>
    <w:p>
      <w:pPr>
        <w:pStyle w:val="Heading2"/>
        <w:spacing w:after="160" w:before="300"/>
      </w:pPr>
      <w:r>
        <w:rPr>
          <w:rFonts w:ascii="Arial" w:cs="Arial" w:eastAsia="Arial" w:hAnsi="Arial"/>
          <w:b/>
          <w:bCs/>
          <w:color w:val="148F77"/>
          <w:sz w:val="26"/>
          <w:szCs w:val="26"/>
        </w:rPr>
        <w:t xml:space="preserve">12.2 Rapports dédiés</w:t>
      </w:r>
    </w:p>
    <w:p>
      <w:pPr>
        <w:spacing w:after="140"/>
        <w:jc w:val="both"/>
      </w:pPr>
      <w:r>
        <w:rPr>
          <w:rFonts w:ascii="Arial" w:cs="Arial" w:eastAsia="Arial" w:hAnsi="Arial"/>
          <w:color w:val="1C2833"/>
          <w:sz w:val="22"/>
          <w:szCs w:val="22"/>
        </w:rPr>
        <w:t xml:space="preserve">Des rapports plus complets sont accessibles depuis la page Rapports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Rapport</w:t>
            </w:r>
          </w:p>
        </w:tc>
        <w:tc>
          <w:tcPr>
            <w:tcW w:type="dxa" w:w="6026"/>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Contenu</w:t>
            </w:r>
          </w:p>
        </w:tc>
      </w:tr>
      <w:tr>
        <w:tc>
          <w:tcPr>
            <w:tcW w:type="dxa" w:w="30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Rotations de transport</w:t>
            </w:r>
          </w:p>
        </w:tc>
        <w:tc>
          <w:tcPr>
            <w:tcW w:type="dxa" w:w="60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Historique complet des rotations avec poids, écarts, produits, dates.</w:t>
            </w:r>
          </w:p>
        </w:tc>
      </w:tr>
      <w:tr>
        <w:tc>
          <w:tcPr>
            <w:tcW w:type="dxa" w:w="30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Inventaire de la flotte</w:t>
            </w:r>
          </w:p>
        </w:tc>
        <w:tc>
          <w:tcPr>
            <w:tcW w:type="dxa" w:w="60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Liste des camions avec état, kilométrage, transporteur, maintenance.</w:t>
            </w:r>
          </w:p>
        </w:tc>
      </w:tr>
      <w:tr>
        <w:tc>
          <w:tcPr>
            <w:tcW w:type="dxa" w:w="30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Historique de maintenance</w:t>
            </w:r>
          </w:p>
        </w:tc>
        <w:tc>
          <w:tcPr>
            <w:tcW w:type="dxa" w:w="60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Toutes les maintenances effectuées, par camion et par type.</w:t>
            </w:r>
          </w:p>
        </w:tc>
      </w:tr>
      <w:tr>
        <w:tc>
          <w:tcPr>
            <w:tcW w:type="dxa" w:w="30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Maintenances dues</w:t>
            </w:r>
          </w:p>
        </w:tc>
        <w:tc>
          <w:tcPr>
            <w:tcW w:type="dxa" w:w="60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Camions nécessitant une maintenance immédiate (statut rouge/jaune).</w:t>
            </w:r>
          </w:p>
        </w:tc>
      </w:tr>
      <w:tr>
        <w:tc>
          <w:tcPr>
            <w:tcW w:type="dxa" w:w="30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Incidents de vol</w:t>
            </w:r>
          </w:p>
        </w:tc>
        <w:tc>
          <w:tcPr>
            <w:tcW w:type="dxa" w:w="60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Export complet des incidents avec type, sévérité, statut, localisation.</w:t>
            </w:r>
          </w:p>
        </w:tc>
      </w:tr>
    </w:tbl>
    <w:p>
      <w:r>
        <w:br w:type="page"/>
      </w:r>
    </w:p>
    <w:p>
      <w:pPr>
        <w:pStyle w:val="Heading1"/>
        <w:spacing w:after="200" w:before="400"/>
      </w:pPr>
      <w:r>
        <w:rPr>
          <w:rFonts w:ascii="Arial" w:cs="Arial" w:eastAsia="Arial" w:hAnsi="Arial"/>
          <w:b/>
          <w:bCs/>
          <w:color w:val="0E6655"/>
          <w:sz w:val="32"/>
          <w:szCs w:val="32"/>
        </w:rPr>
        <w:t xml:space="preserve">13. Synchronisation GPS</w:t>
      </w:r>
    </w:p>
    <w:p>
      <w:pPr>
        <w:spacing w:after="140"/>
        <w:jc w:val="both"/>
      </w:pPr>
      <w:r>
        <w:rPr>
          <w:rFonts w:ascii="Arial" w:cs="Arial" w:eastAsia="Arial" w:hAnsi="Arial"/>
          <w:color w:val="1C2833"/>
          <w:sz w:val="22"/>
          <w:szCs w:val="22"/>
        </w:rPr>
        <w:t xml:space="preserve">Chaque camion est équipé d’un boîtier GPS Teltonika FMB125 connecté au réseau mobile. Ce boîtier transmet en permanence les données du véhicule au serveur Fleeti.</w:t>
      </w:r>
    </w:p>
    <w:p>
      <w:pPr>
        <w:spacing w:after="80"/>
      </w:pPr>
    </w:p>
    <w:p>
      <w:pPr>
        <w:pStyle w:val="Heading2"/>
        <w:spacing w:after="160" w:before="300"/>
      </w:pPr>
      <w:r>
        <w:rPr>
          <w:rFonts w:ascii="Arial" w:cs="Arial" w:eastAsia="Arial" w:hAnsi="Arial"/>
          <w:b/>
          <w:bCs/>
          <w:color w:val="148F77"/>
          <w:sz w:val="26"/>
          <w:szCs w:val="26"/>
        </w:rPr>
        <w:t xml:space="preserve">13.1 Informations collectées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Donnée</w:t>
            </w:r>
          </w:p>
        </w:tc>
        <w:tc>
          <w:tcPr>
            <w:tcW w:type="dxa" w:w="6026"/>
            <w:tcBorders>
              <w:top w:val="single" w:color="B2BABB" w:sz="1"/>
              <w:left w:val="single" w:color="B2BABB" w:sz="1"/>
              <w:bottom w:val="single" w:color="B2BABB" w:sz="1"/>
              <w:right w:val="single" w:color="B2BABB" w:sz="1"/>
            </w:tcBorders>
            <w:shd w:fill="0E6655" w:val="clear"/>
            <w:tcMar>
              <w:top w:type="dxa" w:w="70"/>
              <w:left w:type="dxa" w:w="120"/>
              <w:bottom w:type="dxa" w:w="70"/>
              <w:right w:type="dxa" w:w="120"/>
            </w:tcMar>
          </w:tcPr>
          <w:p>
            <w:r>
              <w:rPr>
                <w:rFonts w:ascii="Arial" w:cs="Arial" w:eastAsia="Arial" w:hAnsi="Arial"/>
                <w:b/>
                <w:bCs/>
                <w:color w:val="FFFFFF"/>
                <w:sz w:val="20"/>
                <w:szCs w:val="20"/>
              </w:rPr>
              <w:t xml:space="preserve">Utilisation</w:t>
            </w:r>
          </w:p>
        </w:tc>
      </w:tr>
      <w:tr>
        <w:tc>
          <w:tcPr>
            <w:tcW w:type="dxa" w:w="30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Position GPS</w:t>
            </w:r>
          </w:p>
        </w:tc>
        <w:tc>
          <w:tcPr>
            <w:tcW w:type="dxa" w:w="60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Carte de la flotte, reprise de trajet, classification des arrêts</w:t>
            </w:r>
          </w:p>
        </w:tc>
      </w:tr>
      <w:tr>
        <w:tc>
          <w:tcPr>
            <w:tcW w:type="dxa" w:w="30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Vitesse</w:t>
            </w:r>
          </w:p>
        </w:tc>
        <w:tc>
          <w:tcPr>
            <w:tcW w:type="dxa" w:w="60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Détection du mouvement, arrêts, hors horaires</w:t>
            </w:r>
          </w:p>
        </w:tc>
      </w:tr>
      <w:tr>
        <w:tc>
          <w:tcPr>
            <w:tcW w:type="dxa" w:w="30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Niveau de carburant</w:t>
            </w:r>
          </w:p>
        </w:tc>
        <w:tc>
          <w:tcPr>
            <w:tcW w:type="dxa" w:w="60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Suivi de consommation, détection de vol</w:t>
            </w:r>
          </w:p>
        </w:tc>
      </w:tr>
      <w:tr>
        <w:tc>
          <w:tcPr>
            <w:tcW w:type="dxa" w:w="30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Compteur kilométrique</w:t>
            </w:r>
          </w:p>
        </w:tc>
        <w:tc>
          <w:tcPr>
            <w:tcW w:type="dxa" w:w="60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Maintenance par kilométrage, distance par rotation</w:t>
            </w:r>
          </w:p>
        </w:tc>
      </w:tr>
      <w:tr>
        <w:tc>
          <w:tcPr>
            <w:tcW w:type="dxa" w:w="30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Heures moteur</w:t>
            </w:r>
          </w:p>
        </w:tc>
        <w:tc>
          <w:tcPr>
            <w:tcW w:type="dxa" w:w="60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Maintenance basée sur l’usure (camions au ralenti)</w:t>
            </w:r>
          </w:p>
        </w:tc>
      </w:tr>
      <w:tr>
        <w:tc>
          <w:tcPr>
            <w:tcW w:type="dxa" w:w="30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État du moteur</w:t>
            </w:r>
          </w:p>
        </w:tc>
        <w:tc>
          <w:tcPr>
            <w:tcW w:type="dxa" w:w="60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Allumé/éteint — détection de siphonnage à l’arrêt</w:t>
            </w:r>
          </w:p>
        </w:tc>
      </w:tr>
      <w:tr>
        <w:tc>
          <w:tcPr>
            <w:tcW w:type="dxa" w:w="3000"/>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Direction</w:t>
            </w:r>
          </w:p>
        </w:tc>
        <w:tc>
          <w:tcPr>
            <w:tcW w:type="dxa" w:w="6026"/>
            <w:tcBorders>
              <w:top w:val="single" w:color="B2BABB" w:sz="1"/>
              <w:left w:val="single" w:color="B2BABB" w:sz="1"/>
              <w:bottom w:val="single" w:color="B2BABB" w:sz="1"/>
              <w:right w:val="single" w:color="B2BABB" w:sz="1"/>
            </w:tcBorders>
            <w:shd w:fill="E8F6F3" w:val="clear"/>
            <w:tcMar>
              <w:top w:type="dxa" w:w="70"/>
              <w:left w:type="dxa" w:w="120"/>
              <w:bottom w:type="dxa" w:w="70"/>
              <w:right w:type="dxa" w:w="120"/>
            </w:tcMar>
          </w:tcPr>
          <w:p>
            <w:r>
              <w:rPr>
                <w:rFonts w:ascii="Arial" w:cs="Arial" w:eastAsia="Arial" w:hAnsi="Arial"/>
                <w:color w:val="1C2833"/>
                <w:sz w:val="20"/>
                <w:szCs w:val="20"/>
              </w:rPr>
              <w:t xml:space="preserve">Visualisation de la direction de déplacement sur la carte</w:t>
            </w:r>
          </w:p>
        </w:tc>
      </w:tr>
      <w:tr>
        <w:tc>
          <w:tcPr>
            <w:tcW w:type="dxa" w:w="3000"/>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Qualité du signal</w:t>
            </w:r>
          </w:p>
        </w:tc>
        <w:tc>
          <w:tcPr>
            <w:tcW w:type="dxa" w:w="6026"/>
            <w:tcBorders>
              <w:top w:val="single" w:color="B2BABB" w:sz="1"/>
              <w:left w:val="single" w:color="B2BABB" w:sz="1"/>
              <w:bottom w:val="single" w:color="B2BABB" w:sz="1"/>
              <w:right w:val="single" w:color="B2BABB" w:sz="1"/>
            </w:tcBorders>
            <w:tcMar>
              <w:top w:type="dxa" w:w="70"/>
              <w:left w:type="dxa" w:w="120"/>
              <w:bottom w:type="dxa" w:w="70"/>
              <w:right w:type="dxa" w:w="120"/>
            </w:tcMar>
          </w:tcPr>
          <w:p>
            <w:r>
              <w:rPr>
                <w:rFonts w:ascii="Arial" w:cs="Arial" w:eastAsia="Arial" w:hAnsi="Arial"/>
                <w:color w:val="1C2833"/>
                <w:sz w:val="20"/>
                <w:szCs w:val="20"/>
              </w:rPr>
              <w:t xml:space="preserve">Surveillance de la santé du tracker GPS</w:t>
            </w:r>
          </w:p>
        </w:tc>
      </w:tr>
    </w:tbl>
    <w:p>
      <w:pPr>
        <w:spacing w:after="80"/>
      </w:pPr>
    </w:p>
    <w:p>
      <w:pPr>
        <w:pStyle w:val="Heading2"/>
        <w:spacing w:after="160" w:before="300"/>
      </w:pPr>
      <w:r>
        <w:rPr>
          <w:rFonts w:ascii="Arial" w:cs="Arial" w:eastAsia="Arial" w:hAnsi="Arial"/>
          <w:b/>
          <w:bCs/>
          <w:color w:val="148F77"/>
          <w:sz w:val="26"/>
          <w:szCs w:val="26"/>
        </w:rPr>
        <w:t xml:space="preserve">13.2 Fréquence</w:t>
      </w:r>
    </w:p>
    <w:p>
      <w:pPr>
        <w:spacing w:after="140"/>
        <w:jc w:val="both"/>
      </w:pPr>
      <w:r>
        <w:rPr>
          <w:rFonts w:ascii="Arial" w:cs="Arial" w:eastAsia="Arial" w:hAnsi="Arial"/>
          <w:color w:val="1C2833"/>
          <w:sz w:val="22"/>
          <w:szCs w:val="22"/>
        </w:rPr>
        <w:t xml:space="preserve">L’application récupère ces données toutes les 30 minutes. Le tracker GPS envoie ses données à Fleeti beaucoup plus souvent (toutes les 30 secondes), mais l’application ne récupère que la dernière lecture toutes les 30 minutes pour éviter de surcharger le serveur.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BABB" w:sz="1"/>
              <w:left w:val="single" w:color="0E6655" w:sz="8"/>
              <w:bottom w:val="single" w:color="B2BABB" w:sz="1"/>
              <w:right w:val="single" w:color="B2BABB" w:sz="1"/>
            </w:tcBorders>
            <w:shd w:fill="FADBD8" w:val="clear"/>
            <w:tcMar>
              <w:top w:type="dxa" w:w="100"/>
              <w:left w:type="dxa" w:w="200"/>
              <w:bottom w:type="dxa" w:w="100"/>
              <w:right w:type="dxa" w:w="200"/>
            </w:tcMar>
          </w:tcPr>
          <w:p>
            <w:pPr>
              <w:spacing w:after="60"/>
            </w:pPr>
            <w:r>
              <w:rPr>
                <w:rFonts w:ascii="Arial" w:cs="Arial" w:eastAsia="Arial" w:hAnsi="Arial"/>
                <w:b/>
                <w:bCs/>
                <w:color w:val="0E6655"/>
                <w:sz w:val="21"/>
                <w:szCs w:val="21"/>
              </w:rPr>
              <w:t xml:space="preserve">Tracker non répondant</w:t>
            </w:r>
          </w:p>
          <w:p>
            <w:r>
              <w:rPr>
                <w:rFonts w:ascii="Arial" w:cs="Arial" w:eastAsia="Arial" w:hAnsi="Arial"/>
                <w:color w:val="1C2833"/>
                <w:sz w:val="20"/>
                <w:szCs w:val="20"/>
              </w:rPr>
              <w:t xml:space="preserve">Si la date de « dernière synchronisation » d’un camion remonte à plus de 24 heures, le tracker GPS ne communique plus avec le serveur. Vérifiez sur le camion : (1) l’alimentation électrique du boîtier, (2) la carte SIM (crédit, validité), (3) la couverture réseau dans la zone où le camion se trouve.</w:t>
            </w:r>
          </w:p>
        </w:tc>
      </w:tr>
    </w:tbl>
    <w:p>
      <w:r>
        <w:br w:type="page"/>
      </w:r>
    </w:p>
    <w:p>
      <w:pPr>
        <w:pStyle w:val="Heading1"/>
        <w:spacing w:after="200" w:before="400"/>
      </w:pPr>
      <w:r>
        <w:rPr>
          <w:rFonts w:ascii="Arial" w:cs="Arial" w:eastAsia="Arial" w:hAnsi="Arial"/>
          <w:b/>
          <w:bCs/>
          <w:color w:val="0E6655"/>
          <w:sz w:val="32"/>
          <w:szCs w:val="32"/>
        </w:rPr>
        <w:t xml:space="preserve">14. Bonnes Pratiques</w:t>
      </w:r>
    </w:p>
    <w:p>
      <w:pPr>
        <w:spacing w:after="140"/>
        <w:jc w:val="both"/>
      </w:pPr>
      <w:r>
        <w:rPr>
          <w:rFonts w:ascii="Arial" w:cs="Arial" w:eastAsia="Arial" w:hAnsi="Arial"/>
          <w:color w:val="1C2833"/>
          <w:sz w:val="22"/>
          <w:szCs w:val="22"/>
        </w:rPr>
        <w:t xml:space="preserve">Pour tirer le meilleur parti de la plateforme, nous recommandons les habitudes suivantes :</w:t>
      </w:r>
    </w:p>
    <w:p>
      <w:pPr>
        <w:spacing w:after="80"/>
      </w:pPr>
    </w:p>
    <w:p>
      <w:pPr>
        <w:pStyle w:val="Heading2"/>
        <w:spacing w:after="160" w:before="300"/>
      </w:pPr>
      <w:r>
        <w:rPr>
          <w:rFonts w:ascii="Arial" w:cs="Arial" w:eastAsia="Arial" w:hAnsi="Arial"/>
          <w:b/>
          <w:bCs/>
          <w:color w:val="148F77"/>
          <w:sz w:val="26"/>
          <w:szCs w:val="26"/>
        </w:rPr>
        <w:t xml:space="preserve">14.1 Quotidiennement</w:t>
      </w:r>
    </w:p>
    <w:p>
      <w:pPr>
        <w:pStyle w:val="ListParagraph"/>
        <w:numPr>
          <w:ilvl w:val="0"/>
          <w:numId w:val="4"/>
        </w:numPr>
        <w:spacing w:after="80"/>
      </w:pPr>
      <w:r>
        <w:rPr>
          <w:rFonts w:ascii="Arial" w:cs="Arial" w:eastAsia="Arial" w:hAnsi="Arial"/>
          <w:b/>
          <w:bCs/>
          <w:color w:val="1C2833"/>
          <w:sz w:val="22"/>
          <w:szCs w:val="22"/>
        </w:rPr>
        <w:t xml:space="preserve">Examiner les incidents de haute sévérité </w:t>
      </w:r>
      <w:r>
        <w:rPr>
          <w:rFonts w:ascii="Arial" w:cs="Arial" w:eastAsia="Arial" w:hAnsi="Arial"/>
          <w:color w:val="1C2833"/>
          <w:sz w:val="22"/>
          <w:szCs w:val="22"/>
        </w:rPr>
        <w:t xml:space="preserve">dès le matin. Ce sont les plus urgents et les plus coûteux.</w:t>
      </w:r>
    </w:p>
    <w:p>
      <w:pPr>
        <w:pStyle w:val="ListParagraph"/>
        <w:numPr>
          <w:ilvl w:val="0"/>
          <w:numId w:val="4"/>
        </w:numPr>
        <w:spacing w:after="80"/>
      </w:pPr>
      <w:r>
        <w:rPr>
          <w:rFonts w:ascii="Arial" w:cs="Arial" w:eastAsia="Arial" w:hAnsi="Arial"/>
          <w:b/>
          <w:bCs/>
          <w:color w:val="1C2833"/>
          <w:sz w:val="22"/>
          <w:szCs w:val="22"/>
        </w:rPr>
        <w:t xml:space="preserve">Vérifier les camions dont le GPS ne répond plus </w:t>
      </w:r>
      <w:r>
        <w:rPr>
          <w:rFonts w:ascii="Arial" w:cs="Arial" w:eastAsia="Arial" w:hAnsi="Arial"/>
          <w:color w:val="1C2833"/>
          <w:sz w:val="22"/>
          <w:szCs w:val="22"/>
        </w:rPr>
        <w:t xml:space="preserve">depuis plus de 24 heures. Un tracker silencieux peut cacher un problème.</w:t>
      </w:r>
    </w:p>
    <w:p>
      <w:pPr>
        <w:pStyle w:val="ListParagraph"/>
        <w:numPr>
          <w:ilvl w:val="0"/>
          <w:numId w:val="4"/>
        </w:numPr>
        <w:spacing w:after="80"/>
      </w:pPr>
      <w:r>
        <w:rPr>
          <w:rFonts w:ascii="Arial" w:cs="Arial" w:eastAsia="Arial" w:hAnsi="Arial"/>
          <w:b/>
          <w:bCs/>
          <w:color w:val="1C2833"/>
          <w:sz w:val="22"/>
          <w:szCs w:val="22"/>
        </w:rPr>
        <w:t xml:space="preserve">Valider les rotations </w:t>
      </w:r>
      <w:r>
        <w:rPr>
          <w:rFonts w:ascii="Arial" w:cs="Arial" w:eastAsia="Arial" w:hAnsi="Arial"/>
          <w:color w:val="1C2833"/>
          <w:sz w:val="22"/>
          <w:szCs w:val="22"/>
        </w:rPr>
        <w:t xml:space="preserve">dès que les pesées client sont saisies. Cela verrouille les données et déclenche le contrôle d’écart de poids.</w:t>
      </w:r>
    </w:p>
    <w:p>
      <w:pPr>
        <w:spacing w:after="80"/>
      </w:pPr>
    </w:p>
    <w:p>
      <w:pPr>
        <w:pStyle w:val="Heading2"/>
        <w:spacing w:after="160" w:before="300"/>
      </w:pPr>
      <w:r>
        <w:rPr>
          <w:rFonts w:ascii="Arial" w:cs="Arial" w:eastAsia="Arial" w:hAnsi="Arial"/>
          <w:b/>
          <w:bCs/>
          <w:color w:val="148F77"/>
          <w:sz w:val="26"/>
          <w:szCs w:val="26"/>
        </w:rPr>
        <w:t xml:space="preserve">14.2 Chaque semaine</w:t>
      </w:r>
    </w:p>
    <w:p>
      <w:pPr>
        <w:pStyle w:val="ListParagraph"/>
        <w:numPr>
          <w:ilvl w:val="0"/>
          <w:numId w:val="5"/>
        </w:numPr>
        <w:spacing w:after="80"/>
      </w:pPr>
      <w:r>
        <w:rPr>
          <w:rFonts w:ascii="Arial" w:cs="Arial" w:eastAsia="Arial" w:hAnsi="Arial"/>
          <w:b/>
          <w:bCs/>
          <w:color w:val="1C2833"/>
          <w:sz w:val="22"/>
          <w:szCs w:val="22"/>
        </w:rPr>
        <w:t xml:space="preserve">Passer en revue les incidents rejetés </w:t>
      </w:r>
      <w:r>
        <w:rPr>
          <w:rFonts w:ascii="Arial" w:cs="Arial" w:eastAsia="Arial" w:hAnsi="Arial"/>
          <w:color w:val="1C2833"/>
          <w:sz w:val="22"/>
          <w:szCs w:val="22"/>
        </w:rPr>
        <w:t xml:space="preserve">pour s’assurer qu’il n’y a pas de tendance (même camion, même conducteur).</w:t>
      </w:r>
    </w:p>
    <w:p>
      <w:pPr>
        <w:pStyle w:val="ListParagraph"/>
        <w:numPr>
          <w:ilvl w:val="0"/>
          <w:numId w:val="5"/>
        </w:numPr>
        <w:spacing w:after="80"/>
      </w:pPr>
      <w:r>
        <w:rPr>
          <w:rFonts w:ascii="Arial" w:cs="Arial" w:eastAsia="Arial" w:hAnsi="Arial"/>
          <w:b/>
          <w:bCs/>
          <w:color w:val="1C2833"/>
          <w:sz w:val="22"/>
          <w:szCs w:val="22"/>
        </w:rPr>
        <w:t xml:space="preserve">Vérifier les camions en statut jaune </w:t>
      </w:r>
      <w:r>
        <w:rPr>
          <w:rFonts w:ascii="Arial" w:cs="Arial" w:eastAsia="Arial" w:hAnsi="Arial"/>
          <w:color w:val="1C2833"/>
          <w:sz w:val="22"/>
          <w:szCs w:val="22"/>
        </w:rPr>
        <w:t xml:space="preserve">(maintenance bientôt due) et planifier l’intervention.</w:t>
      </w:r>
    </w:p>
    <w:p>
      <w:pPr>
        <w:pStyle w:val="ListParagraph"/>
        <w:numPr>
          <w:ilvl w:val="0"/>
          <w:numId w:val="5"/>
        </w:numPr>
        <w:spacing w:after="80"/>
      </w:pPr>
      <w:r>
        <w:rPr>
          <w:rFonts w:ascii="Arial" w:cs="Arial" w:eastAsia="Arial" w:hAnsi="Arial"/>
          <w:b/>
          <w:bCs/>
          <w:color w:val="1C2833"/>
          <w:sz w:val="22"/>
          <w:szCs w:val="22"/>
        </w:rPr>
        <w:t xml:space="preserve">Exporter les rapports de la semaine </w:t>
      </w:r>
      <w:r>
        <w:rPr>
          <w:rFonts w:ascii="Arial" w:cs="Arial" w:eastAsia="Arial" w:hAnsi="Arial"/>
          <w:color w:val="1C2833"/>
          <w:sz w:val="22"/>
          <w:szCs w:val="22"/>
        </w:rPr>
        <w:t xml:space="preserve">pour archivage et analyse.</w:t>
      </w:r>
    </w:p>
    <w:p>
      <w:pPr>
        <w:spacing w:after="80"/>
      </w:pPr>
    </w:p>
    <w:p>
      <w:pPr>
        <w:pStyle w:val="Heading2"/>
        <w:spacing w:after="160" w:before="300"/>
      </w:pPr>
      <w:r>
        <w:rPr>
          <w:rFonts w:ascii="Arial" w:cs="Arial" w:eastAsia="Arial" w:hAnsi="Arial"/>
          <w:b/>
          <w:bCs/>
          <w:color w:val="148F77"/>
          <w:sz w:val="26"/>
          <w:szCs w:val="26"/>
        </w:rPr>
        <w:t xml:space="preserve">14.3 Régulièrement</w:t>
      </w:r>
    </w:p>
    <w:p>
      <w:pPr>
        <w:pStyle w:val="ListParagraph"/>
        <w:numPr>
          <w:ilvl w:val="0"/>
          <w:numId w:val="3"/>
        </w:numPr>
        <w:spacing w:after="80"/>
      </w:pPr>
      <w:r>
        <w:rPr>
          <w:rFonts w:ascii="Arial" w:cs="Arial" w:eastAsia="Arial" w:hAnsi="Arial"/>
          <w:b/>
          <w:bCs/>
          <w:color w:val="1C2833"/>
          <w:sz w:val="22"/>
          <w:szCs w:val="22"/>
        </w:rPr>
        <w:t xml:space="preserve">Créer des lieux (géofences) </w:t>
      </w:r>
      <w:r>
        <w:rPr>
          <w:rFonts w:ascii="Arial" w:cs="Arial" w:eastAsia="Arial" w:hAnsi="Arial"/>
          <w:color w:val="1C2833"/>
          <w:sz w:val="22"/>
          <w:szCs w:val="22"/>
        </w:rPr>
        <w:t xml:space="preserve">pour les stations-service, restaurants et parkings fréquentés par les conducteurs. Cela réduit les faux positifs d’arrêts suspects.</w:t>
      </w:r>
    </w:p>
    <w:p>
      <w:pPr>
        <w:pStyle w:val="ListParagraph"/>
        <w:numPr>
          <w:ilvl w:val="0"/>
          <w:numId w:val="3"/>
        </w:numPr>
        <w:spacing w:after="80"/>
      </w:pPr>
      <w:r>
        <w:rPr>
          <w:rFonts w:ascii="Arial" w:cs="Arial" w:eastAsia="Arial" w:hAnsi="Arial"/>
          <w:b/>
          <w:bCs/>
          <w:color w:val="1C2833"/>
          <w:sz w:val="22"/>
          <w:szCs w:val="22"/>
        </w:rPr>
        <w:t xml:space="preserve">Ne jamais attendre le statut rouge </w:t>
      </w:r>
      <w:r>
        <w:rPr>
          <w:rFonts w:ascii="Arial" w:cs="Arial" w:eastAsia="Arial" w:hAnsi="Arial"/>
          <w:color w:val="1C2833"/>
          <w:sz w:val="22"/>
          <w:szCs w:val="22"/>
        </w:rPr>
        <w:t xml:space="preserve">pour la maintenance. Intervenir dès le jaune coûte moins cher qu’une panne en route.</w:t>
      </w:r>
    </w:p>
    <w:p>
      <w:pPr>
        <w:pStyle w:val="ListParagraph"/>
        <w:numPr>
          <w:ilvl w:val="0"/>
          <w:numId w:val="3"/>
        </w:numPr>
        <w:spacing w:after="80"/>
      </w:pPr>
      <w:r>
        <w:rPr>
          <w:rFonts w:ascii="Arial" w:cs="Arial" w:eastAsia="Arial" w:hAnsi="Arial"/>
          <w:b/>
          <w:bCs/>
          <w:color w:val="1C2833"/>
          <w:sz w:val="22"/>
          <w:szCs w:val="22"/>
        </w:rPr>
        <w:t xml:space="preserve">Former les conducteurs </w:t>
      </w:r>
      <w:r>
        <w:rPr>
          <w:rFonts w:ascii="Arial" w:cs="Arial" w:eastAsia="Arial" w:hAnsi="Arial"/>
          <w:color w:val="1C2833"/>
          <w:sz w:val="22"/>
          <w:szCs w:val="22"/>
        </w:rPr>
        <w:t xml:space="preserve">au checklist quotidien. C’est la première ligne de détection des problèmes mécaniques.</w:t>
      </w:r>
    </w:p>
    <w:p>
      <w:pPr>
        <w:pStyle w:val="ListParagraph"/>
        <w:numPr>
          <w:ilvl w:val="0"/>
          <w:numId w:val="3"/>
        </w:numPr>
        <w:spacing w:after="80"/>
      </w:pPr>
      <w:r>
        <w:rPr>
          <w:rFonts w:ascii="Arial" w:cs="Arial" w:eastAsia="Arial" w:hAnsi="Arial"/>
          <w:b/>
          <w:bCs/>
          <w:color w:val="1C2833"/>
          <w:sz w:val="22"/>
          <w:szCs w:val="22"/>
        </w:rPr>
        <w:t xml:space="preserve">Archiver les rapports Excel </w:t>
      </w:r>
      <w:r>
        <w:rPr>
          <w:rFonts w:ascii="Arial" w:cs="Arial" w:eastAsia="Arial" w:hAnsi="Arial"/>
          <w:color w:val="1C2833"/>
          <w:sz w:val="22"/>
          <w:szCs w:val="22"/>
        </w:rPr>
        <w:t xml:space="preserve">mensuellement pour conserver un historique exploitable en cas de litige.</w:t>
      </w:r>
    </w:p>
    <w:p>
      <w:pPr>
        <w:spacing w:after="80"/>
      </w:pPr>
    </w:p>
    <w:p>
      <w:pPr>
        <w:spacing w:after="80"/>
      </w:pPr>
    </w:p>
    <w:p>
      <w:pPr>
        <w:pBdr>
          <w:top w:val="single" w:color="148F77" w:sz="4" w:space="1"/>
        </w:pBdr>
        <w:spacing w:after="200" w:before="400"/>
        <w:jc w:val="center"/>
      </w:pPr>
    </w:p>
    <w:p>
      <w:pPr>
        <w:jc w:val="center"/>
      </w:pPr>
      <w:r>
        <w:rPr>
          <w:rFonts w:ascii="Arial" w:cs="Arial" w:eastAsia="Arial" w:hAnsi="Arial"/>
          <w:i/>
          <w:iCs/>
          <w:color w:val="5D6D7E"/>
          <w:sz w:val="22"/>
          <w:szCs w:val="22"/>
        </w:rPr>
        <w:t xml:space="preserve">AMC Logistics — Guide Fonctionnel — Avril 2026</w:t>
      </w:r>
    </w:p>
    <w:p>
      <w:pPr>
        <w:jc w:val="center"/>
      </w:pPr>
      <w:r>
        <w:rPr>
          <w:rFonts w:ascii="Arial" w:cs="Arial" w:eastAsia="Arial" w:hAnsi="Arial"/>
          <w:i/>
          <w:iCs/>
          <w:color w:val="5D6D7E"/>
          <w:sz w:val="22"/>
          <w:szCs w:val="22"/>
        </w:rPr>
        <w:t xml:space="preserve">AMC Travaux — Sénégal / Mauritanie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AMC Logistics — Guide Fonctionnel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E6655"/>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48F77"/>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2026-04-13T10:16:07.047Z</dcterms:created>
  <dcterms:modified xsi:type="dcterms:W3CDTF">2026-04-13T10:16:07.074Z</dcterms:modified>
</cp:coreProperties>
</file>

<file path=docProps/custom.xml><?xml version="1.0" encoding="utf-8"?>
<Properties xmlns="http://schemas.openxmlformats.org/officeDocument/2006/custom-properties" xmlns:vt="http://schemas.openxmlformats.org/officeDocument/2006/docPropsVTypes"/>
</file>