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Szakképesítés neve: Szoftverfejlesztő és -tesztelő</w:t>
      </w:r>
    </w:p>
    <w:p w:rsidR="00000000" w:rsidDel="00000000" w:rsidP="00000000" w:rsidRDefault="00000000" w:rsidRPr="00000000" w14:paraId="00000002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OKJ száma: 54 522</w:t>
      </w:r>
    </w:p>
    <w:p w:rsidR="00000000" w:rsidDel="00000000" w:rsidP="00000000" w:rsidRDefault="00000000" w:rsidRPr="00000000" w14:paraId="00000003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sz w:val="120"/>
          <w:szCs w:val="120"/>
        </w:rPr>
      </w:pPr>
      <w:r w:rsidDel="00000000" w:rsidR="00000000" w:rsidRPr="00000000">
        <w:rPr>
          <w:rFonts w:ascii="Times New Roman" w:cs="Times New Roman" w:eastAsia="Times New Roman" w:hAnsi="Times New Roman"/>
          <w:sz w:val="120"/>
          <w:szCs w:val="120"/>
          <w:rtl w:val="0"/>
        </w:rPr>
        <w:t xml:space="preserve">Vigrid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Készítette: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Simon Attila Máté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Kertmegi Richárd Imre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Medve Márk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A Játék</w:t>
      </w:r>
    </w:p>
    <w:p w:rsidR="00000000" w:rsidDel="00000000" w:rsidP="00000000" w:rsidRDefault="00000000" w:rsidRPr="00000000" w14:paraId="0000000E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Bevezető</w:t>
      </w:r>
    </w:p>
    <w:p w:rsidR="00000000" w:rsidDel="00000000" w:rsidP="00000000" w:rsidRDefault="00000000" w:rsidRPr="00000000" w14:paraId="0000000F">
      <w:pPr>
        <w:spacing w:after="24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Vigrid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egy videójáték, amelyet a Slay the Spire által inspirált mechanikák, valamint az északi mitológia gazdag világának ötvözésével fejlesztettünk. A projekt célja egy olyan stratégiai alapokon nyugvó, kártya alapú harc rendszerrel rendelkező játék létrehozása, amely könnyed kikapcsolódást nyújthat az egyszerűbb stratégiai alapokon nyugvó szoftverekre vágyóknak. A projekt feladatként bemutatott demo egyenlőre egy karaktert, a bondit helyezi előtérbe, annak kihasználását a játékosra bízva. Azért választottuk ezt a témát és zsánert, mert mind a pakli építős rouglike játékok, mind az északi mitológiára alapuló történetek nem kapják meg a megfelelő figyelmet, amit érdemelnének. </w:t>
      </w:r>
    </w:p>
    <w:p w:rsidR="00000000" w:rsidDel="00000000" w:rsidP="00000000" w:rsidRDefault="00000000" w:rsidRPr="00000000" w14:paraId="00000010">
      <w:pPr>
        <w:spacing w:after="240" w:before="24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 program célja, hogy: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egyedi és újrajátszható játékélményt nyújtson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fejlessze a játékos stratégiai gondolkodását és döntéshozatali képességeit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bemutassa a kártyaalapú játékmechanikák hatékony implementációjátt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  <w:rtl w:val="0"/>
        </w:rPr>
        <w:t xml:space="preserve">Tesztelés</w:t>
      </w:r>
    </w:p>
    <w:p w:rsidR="00000000" w:rsidDel="00000000" w:rsidP="00000000" w:rsidRDefault="00000000" w:rsidRPr="00000000" w14:paraId="00000015">
      <w:pPr>
        <w:spacing w:after="24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programot a Godot játékmotor beépített debug felületével teszteltük, minimalizálva a futás közben előforduló hibákat és teljesítmény beli ugrásokat. Annak érdekében, hogy a tesztek során a program minél kevesebbet sérüljön, sok tesztet más Godot projektekben végeztünk el, és aztán importáltuk át az ott kapott végleges változatot a főprogramba. Így készült el a map, a menü és a harcrendszer is. </w:t>
      </w:r>
    </w:p>
    <w:p w:rsidR="00000000" w:rsidDel="00000000" w:rsidP="00000000" w:rsidRDefault="00000000" w:rsidRPr="00000000" w14:paraId="00000016">
      <w:pPr>
        <w:spacing w:after="24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Godot játékmotor beépített debug felülete lehetővé teszi a programozó számára, hogy könnyen futtassa a programot tesztelői szemmel, ahol a játékban fellelhető háttér mechanikák láthatóvá válnak.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742950</wp:posOffset>
            </wp:positionV>
            <wp:extent cx="6645600" cy="2641600"/>
            <wp:effectExtent b="0" l="0" r="0" t="0"/>
            <wp:wrapTopAndBottom distB="114300" distT="114300"/>
            <wp:docPr id="2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2641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3457575</wp:posOffset>
            </wp:positionV>
            <wp:extent cx="6645600" cy="3733800"/>
            <wp:effectExtent b="0" l="0" r="0" t="0"/>
            <wp:wrapTopAndBottom distB="114300" distT="11430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733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spacing w:after="24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  <w:rtl w:val="0"/>
        </w:rPr>
        <w:br w:type="textWrapping"/>
        <w:t xml:space="preserve">Letöltés és elindítás</w:t>
      </w:r>
    </w:p>
    <w:p w:rsidR="00000000" w:rsidDel="00000000" w:rsidP="00000000" w:rsidRDefault="00000000" w:rsidRPr="00000000" w14:paraId="0000001A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program letöltéséhez szükség van annak Github linkjére. Az onnan letöltött mappa tartalmazza a Vigrid.exe fájlt egy tömörített mappában. Azt kicsomagolva futtatható a játék az exe fájlon keresztül</w:t>
      </w:r>
    </w:p>
    <w:p w:rsidR="00000000" w:rsidDel="00000000" w:rsidP="00000000" w:rsidRDefault="00000000" w:rsidRPr="00000000" w14:paraId="0000001C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Ahhoz, hogy a Godot felületén megnyitható legyen a program, szükség van a Godot program letöltésére, amit a Godot hivatalos oldaláról tehetünk meg. </w:t>
      </w:r>
    </w:p>
    <w:p w:rsidR="00000000" w:rsidDel="00000000" w:rsidP="00000000" w:rsidRDefault="00000000" w:rsidRPr="00000000" w14:paraId="0000001D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link: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6"/>
            <w:szCs w:val="26"/>
            <w:u w:val="single"/>
            <w:rtl w:val="0"/>
          </w:rPr>
          <w:t xml:space="preserve">https://godotengine.org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játék a Godot egy előző verziójában (4.5.2) készült, annak letöltéséhez a “previous version” gombra kattintva juthatunk el.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166596</wp:posOffset>
            </wp:positionV>
            <wp:extent cx="6645600" cy="3124200"/>
            <wp:effectExtent b="0" l="0" r="0" t="0"/>
            <wp:wrapTopAndBottom distB="114300" distT="114300"/>
            <wp:docPr id="30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124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Itt letekerünk, ameddig a kívánt verziószámmal nem találkozunk. Az itt felvonultatott lehetőségek közül (stable vagy rc1) bármelyik megfelel a program futtatására. </w:t>
      </w:r>
    </w:p>
    <w:p w:rsidR="00000000" w:rsidDel="00000000" w:rsidP="00000000" w:rsidRDefault="00000000" w:rsidRPr="00000000" w14:paraId="00000020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Ha bármelyik választható lehetőségnél rákattintunk a “download” gombra, a weboldal átdob minket a képen látható lapra, ahol kiválasztva a “Windows” opciót, a program alacsony gépigényének köszönhetően perceken belül elindíthatjuk azt, nincs szükség lokális  telepítésre.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6645600" cy="3251200"/>
            <wp:effectExtent b="0" l="0" r="0" t="0"/>
            <wp:wrapTopAndBottom distB="114300" distT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25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4276725</wp:posOffset>
            </wp:positionV>
            <wp:extent cx="6645600" cy="4800600"/>
            <wp:effectExtent b="0" l="0" r="0" t="0"/>
            <wp:wrapTopAndBottom distB="114300" distT="11430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4800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program megnyitása után a képen látható felület jelenik meg. Itt az Importálás gombra kattintva kikereshetjük a Vigrid mappáját, amit előzőleges a Githubról letöltöttünk. A Godot automatikusan a Dokumentumok közt kezdi el keresni a kívánt mappát, ám ha máshova mentettük, a felső navigációs gombok, vagy a mappa helyének manuális beírásával könnyen megtalálható a program, amit megnyitni szeretnénk. </w:t>
      </w:r>
    </w:p>
    <w:p w:rsidR="00000000" w:rsidDel="00000000" w:rsidP="00000000" w:rsidRDefault="00000000" w:rsidRPr="00000000" w14:paraId="00000024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185829</wp:posOffset>
            </wp:positionV>
            <wp:extent cx="6645600" cy="4559300"/>
            <wp:effectExtent b="0" l="0" r="0" t="0"/>
            <wp:wrapTopAndBottom distB="114300" distT="114300"/>
            <wp:docPr id="2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455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spacing w:after="0" w:lineRule="auto"/>
        <w:ind w:left="0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566.9291338582675" w:firstLine="0"/>
        <w:jc w:val="left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114300</wp:posOffset>
            </wp:positionV>
            <wp:extent cx="6645600" cy="4813300"/>
            <wp:effectExtent b="0" l="0" r="0" t="0"/>
            <wp:wrapTopAndBottom distB="114300" distT="114300"/>
            <wp:docPr id="3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481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A Játék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A játék menete: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program elindítása utáni első képernyő, a menü. Itt, a rúnákkal jelölt gombok segítségével haladhat tovább a felhasználó, valamint a csontra rákkattintva juthat el az opciók menüpontra. Ez a vizuális döntés annak érdekében született, hogy a játékban minél kevesebb hangulat ölő elem kerüljön. Minden menüpont egy rúna, a játék címe egy kardba van vésve.</w:t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ind w:left="566.9291338582675" w:firstLine="141.7322834645671"/>
        <w:jc w:val="center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</w:rPr>
        <w:drawing>
          <wp:inline distB="114300" distT="114300" distL="114300" distR="114300">
            <wp:extent cx="6016463" cy="3372865"/>
            <wp:effectExtent b="0" l="0" r="0" t="0"/>
            <wp:docPr id="1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6463" cy="3372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Az új játék, vagy “New Game” gombra kattintva a program átvált a karakterválasztó oldalra. Itt jelenleg egy karakter elérhető (Bondi), illetve egy további tesztelést igényel. Ha a felhasználó bármelyik menüpont fölé viszi az egerét, az világítani fog, illetve kiírja az adott menüpont célját (Úgy mint: New Game, Options, Continue, Exit)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játék ezek után ismét vált, ezúttal a térkép nézetre, ahol a játékost a kis fabábu jelzi, az alatta lévő ikonok pedig a megálló helyének viselkedését.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512925</wp:posOffset>
            </wp:positionH>
            <wp:positionV relativeFrom="paragraph">
              <wp:posOffset>293152</wp:posOffset>
            </wp:positionV>
            <wp:extent cx="6015600" cy="3366422"/>
            <wp:effectExtent b="0" l="0" r="0" t="0"/>
            <wp:wrapSquare wrapText="bothSides" distB="114300" distT="114300" distL="114300" distR="114300"/>
            <wp:docPr id="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5600" cy="336642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D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  <w:drawing>
          <wp:inline distB="114300" distT="114300" distL="114300" distR="114300">
            <wp:extent cx="609600" cy="609600"/>
            <wp:effectExtent b="0" l="0" r="0" t="0"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Pihenőhely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  <w:drawing>
          <wp:inline distB="114300" distT="114300" distL="114300" distR="114300">
            <wp:extent cx="609600" cy="609600"/>
            <wp:effectExtent b="0" l="0" r="0" t="0"/>
            <wp:docPr id="3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Ellenfél</w:t>
      </w:r>
    </w:p>
    <w:p w:rsidR="00000000" w:rsidDel="00000000" w:rsidP="00000000" w:rsidRDefault="00000000" w:rsidRPr="00000000" w14:paraId="0000002F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  <w:drawing>
          <wp:inline distB="114300" distT="114300" distL="114300" distR="114300">
            <wp:extent cx="609600" cy="609600"/>
            <wp:effectExtent b="0" l="0" r="0" t="0"/>
            <wp:docPr id="43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Véletlenszerű esemény</w:t>
      </w:r>
    </w:p>
    <w:p w:rsidR="00000000" w:rsidDel="00000000" w:rsidP="00000000" w:rsidRDefault="00000000" w:rsidRPr="00000000" w14:paraId="00000030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  <w:drawing>
          <wp:inline distB="114300" distT="114300" distL="114300" distR="114300">
            <wp:extent cx="609600" cy="6096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Pálya végi főellenség (Jelenleg Hel)</w:t>
      </w:r>
    </w:p>
    <w:p w:rsidR="00000000" w:rsidDel="00000000" w:rsidP="00000000" w:rsidRDefault="00000000" w:rsidRPr="00000000" w14:paraId="00000031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játékos mindig csak a következő ikonra léphet, megakadályozva ezzel azt, hogy a felhasználó vissza ugorjon egy előző pontra, vagy előre ugorjon a pálya végére.</w:t>
      </w:r>
    </w:p>
    <w:p w:rsidR="00000000" w:rsidDel="00000000" w:rsidP="00000000" w:rsidRDefault="00000000" w:rsidRPr="00000000" w14:paraId="00000033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015600" cy="3376817"/>
            <wp:effectExtent b="0" l="0" r="0" t="0"/>
            <wp:docPr id="1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5600" cy="33768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lépést követően a program ismét vált, ezúttal a harci jelenetre.</w:t>
      </w:r>
    </w:p>
    <w:p w:rsidR="00000000" w:rsidDel="00000000" w:rsidP="00000000" w:rsidRDefault="00000000" w:rsidRPr="00000000" w14:paraId="00000036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026400" cy="3374062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6400" cy="3374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játékosnak itt a karaktertől függő mennyiségű energiája (A baloldalt látható szám) és előre megadott paklija van, ami később bővíthető. A kártyák a bal felső sarkukban jelzett energia mennyiségért cserébe hívhatók elő. </w:t>
      </w:r>
    </w:p>
    <w:p w:rsidR="00000000" w:rsidDel="00000000" w:rsidP="00000000" w:rsidRDefault="00000000" w:rsidRPr="00000000" w14:paraId="00000038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kártyák előhívásához a kívánt kártyára kell kattintani, majd a képernyő közepére húzni. Ha nincs elég energiája a karakternek ahhoz, hogy a kártya aktiválva legyen, akkor a kártya nem fog mozdulni a helyéről. Optimális esetben (Ha a kártya előhívásához van elég energiánk), a kártya mozdítható, a képernyő közepére húzva pedig apró fehér csillogás fogja jelezni, hogy aktiválható. </w:t>
      </w:r>
    </w:p>
    <w:p w:rsidR="00000000" w:rsidDel="00000000" w:rsidP="00000000" w:rsidRDefault="00000000" w:rsidRPr="00000000" w14:paraId="00000039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026400" cy="3374062"/>
            <wp:effectExtent b="0" l="0" r="0" t="0"/>
            <wp:docPr id="20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6400" cy="3374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Az egér elengedésével a kártya aktiválódik, annak ára levonásra kerül az energiából, és függően a kártya céljától, vagy szimplán eltűnik, vagy a helyén egy fizika alapján működő tárgy jelenik meg. </w:t>
      </w:r>
    </w:p>
    <w:p w:rsidR="00000000" w:rsidDel="00000000" w:rsidP="00000000" w:rsidRDefault="00000000" w:rsidRPr="00000000" w14:paraId="0000003C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026400" cy="3374062"/>
            <wp:effectExtent b="0" l="0" r="0" t="0"/>
            <wp:docPr id="1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6400" cy="3374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Bármely karakterre dobva a tárgyat, annak hatása aktiválódik (pajzs esetén az “áldozat” +3 pajzsot nyer, bármiféle támadás esetén a fegyver előre deklarált sebzési pontja levonásra kerül az áldozat életerejéből/pajzsából)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50"/>
          <w:szCs w:val="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A játék működése. 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 A motor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Godot játékmotor scene-ekre és scriptekre épül, amiket a saját program nyelvével, a GDScriptel használhatunk, valamint lehetőség van C++ kódot is használni benne. A scene-ek komponens alapú, hierarchikus entitánsok. A struktúrája fa alapú, a motorban használt kifejezés egy projektre ezért is tree.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Adatbázisok és betöltések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Vigrid két saját adatbázissal operál, ezek a BaseCard_data.tres, illetve a Character_Data.tres.</w:t>
        <w:br w:type="textWrapping"/>
        <w:t xml:space="preserve">Ez a két adathordozó fájl felelős a kártyák eltárolásáért, illetve a karakter és az ellenfelek létrehozásáért minden új pályán.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876300</wp:posOffset>
            </wp:positionH>
            <wp:positionV relativeFrom="paragraph">
              <wp:posOffset>118463</wp:posOffset>
            </wp:positionV>
            <wp:extent cx="2609850" cy="4552950"/>
            <wp:effectExtent b="0" l="0" r="0" t="0"/>
            <wp:wrapTopAndBottom distB="114300" distT="11430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4552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2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2133600" cy="838200"/>
            <wp:effectExtent b="0" l="0" r="0" t="0"/>
            <wp:docPr id="4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BaseCard_data.tres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  <w:t xml:space="preserve">A játékos alap pakliját tárolja, a kód innen képes lehívni a létrehozni kívánt kártya nevét, alap értékét, textúráját, fajtáját.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2490788" cy="597789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0788" cy="59778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Character_data.tres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játékos karakter és az ellenfeleket közösen tárolja a megegyező értékeik miatt, valamint a könnyű hozzáférhetőség érdekében. Az adatbázis tartalmazza a karakter ID-ját, élet pontját, nevét, textúráját, használható paklijának egyedi azonosítóját, illetve, hogy mennyi energiával kezd.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3228975" cy="6562725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56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2828925" cy="4124325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4124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Az ellenfél egy leegyszerűsített változatként jelenik meg, a használható akcióin, nevén, textúráján túl nincs más, ami szükséges lenne a létrehozásához.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 A Szintaktika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karakterek megjelenítéséhez először is fontos, hogy a Character_data.tres-ből kapott adatokat külön válogassuk: Mi-kinek szól?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026400" cy="4218480"/>
            <wp:effectExtent b="0" l="0" r="0" t="0"/>
            <wp:docPr id="38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6400" cy="42184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  <w:t xml:space="preserve">A kód egy egyszerű if-else ággal külön válassza bekapott információkat. Ha a folyamat először fut le, a sid=0, akkor a játékos karakter kerül létrehozásra, bármi egyéb esetében az ellenfél. 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  <w:t xml:space="preserve">A kártyák esetében a helyzet igen hasonló, ám hozzá tartozik még némi véletlenszerű keverés is.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219700" cy="2124075"/>
            <wp:effectExtent b="0" l="0" r="0" t="0"/>
            <wp:docPr id="3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2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Ez a kód a harc elindításának pillanatában aktiválódik, kibontja a kártyák adatát tároló metadatát, és elindít egy for ciklust, ami az adattárolóban található kártyák neveit hozzáadaja egy tömbhöz. </w:t>
      </w:r>
    </w:p>
    <w:p w:rsidR="00000000" w:rsidDel="00000000" w:rsidP="00000000" w:rsidRDefault="00000000" w:rsidRPr="00000000" w14:paraId="0000004B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Ez után a deckshuffel() függvény egyenként elhelyezi a még üres kártyákat a képernyőn, ügyelve arra, hogy ha esetlegesen a használható pakliban kevesebb mint 5 darab kártya van, úgy a már használtból hozzon vissza eleget.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-257174</wp:posOffset>
            </wp:positionH>
            <wp:positionV relativeFrom="paragraph">
              <wp:posOffset>128314</wp:posOffset>
            </wp:positionV>
            <wp:extent cx="7319963" cy="2705100"/>
            <wp:effectExtent b="0" l="0" r="0" t="0"/>
            <wp:wrapSquare wrapText="bothSides" distB="114300" distT="114300" distL="114300" distR="114300"/>
            <wp:docPr id="3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9963" cy="2705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C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4F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  <w:drawing>
          <wp:inline distB="114300" distT="114300" distL="114300" distR="114300">
            <wp:extent cx="6519863" cy="3124200"/>
            <wp:effectExtent b="0" l="0" r="0" t="0"/>
            <wp:docPr id="3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9863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deckhandler() függvény felelős azért, hogy a már előzőleg létrehozott, de üres kártyák megkapják a textúrájukat, értékeiket, nevüket.</w:t>
        <w:br w:type="textWrapping"/>
        <w:br w:type="textWrapping"/>
        <w:t xml:space="preserve">Egy-egy kártya feláldozása után a kapott fegyvert forgatni és dobálni lehet. Ez a Godotba épített fizikai rendszernek köszönhető.</w:t>
      </w:r>
    </w:p>
    <w:p w:rsidR="00000000" w:rsidDel="00000000" w:rsidP="00000000" w:rsidRDefault="00000000" w:rsidRPr="00000000" w14:paraId="00000052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645600" cy="4191000"/>
            <wp:effectExtent b="0" l="0" r="0" t="0"/>
            <wp:docPr id="40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53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physics_process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lehetővé teszi, hogy fizikát szimuláljunk a programon belül, a képen lévő kód a fegyverek súlyát és mozgását változtatja, függően attól, hogy hol kattint a játékos rá.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Miután egy csata lezajlódott a játékos visszakerül a térképre, ahol ugorhat a következő csatába. A térkép figyeli, hogy hol vagyunk jelenleg, az adott “meghódított” pont ID-ja, és az annál kisebb ID-val rendelkező helyek már nem látogathatóak. Az utána következők közül is csak az 1-el nagyobb.</w:t>
      </w:r>
    </w:p>
    <w:p w:rsidR="00000000" w:rsidDel="00000000" w:rsidP="00000000" w:rsidRDefault="00000000" w:rsidRPr="00000000" w14:paraId="00000058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Maga a térkép úgy lett felépítve, hogy egyszerű, véletlenszerű, de szükség esetén könnyen módosítható legyen.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6645600" cy="3556000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566.9291338582675" w:firstLine="141.732283464567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  <w:rtl w:val="0"/>
        </w:rPr>
        <w:t xml:space="preserve">A Weboldal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center"/>
        <w:rPr>
          <w:rFonts w:ascii="Times New Roman" w:cs="Times New Roman" w:eastAsia="Times New Roman" w:hAnsi="Times New Roman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Követelmények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Webböngésző (az alábbiak legfrissebb verziója):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Google Chrome 90+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Mozilla Firefox 88+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Safari 14+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Microsoft Edge 90+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Opera 76+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Egyéb követelmények: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Stabil internetkapcsolat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Frissített böngésző, amely támogatja a modern CSS tulajdonságokat és funkciókat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Telepítés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Mivel az 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Vigrid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játék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tudástára egy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web alapú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alkalmazás, a végfelhasználóknak nem szükséges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telepíteniük semmilyen szoftvert. Az alkalmazás használatához elegendő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egy kompatibilis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webböngészővel rendelkező eszköz és internetkapcsolat. A fejlesztői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környezet telepítéséhez és a lokális futtatáshoz az alábbi lépések szükségesek: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1. Előfeltételek telepítése: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Node.js (16.x vagy újabb verzió)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npm (Node Package Manager)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Git verziókezelő rendszer (Sourcetree vagy GitHub Desktop)</w:t>
      </w:r>
    </w:p>
    <w:p w:rsidR="00000000" w:rsidDel="00000000" w:rsidP="00000000" w:rsidRDefault="00000000" w:rsidRPr="00000000" w14:paraId="0000006F">
      <w:pPr>
        <w:ind w:left="566.9291338582675" w:firstLine="141.732283464567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Repository klónozása: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hyperlink r:id="rId36">
        <w:r w:rsidDel="00000000" w:rsidR="00000000" w:rsidRPr="00000000">
          <w:rPr>
            <w:rFonts w:ascii="Times New Roman" w:cs="Times New Roman" w:eastAsia="Times New Roman" w:hAnsi="Times New Roman"/>
            <w:i w:val="0"/>
            <w:iCs w:val="0"/>
            <w:smallCaps w:val="0"/>
            <w:strike w:val="0"/>
            <w:color w:val="0563c1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https://github.com/medvemark-10379-svg/Vigrid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90807</wp:posOffset>
            </wp:positionH>
            <wp:positionV relativeFrom="paragraph">
              <wp:posOffset>462280</wp:posOffset>
            </wp:positionV>
            <wp:extent cx="5760720" cy="4044950"/>
            <wp:effectExtent b="0" l="0" r="0" t="0"/>
            <wp:wrapSquare wrapText="bothSides" distB="0" distT="0" distL="114300" distR="114300"/>
            <wp:docPr id="3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86045</wp:posOffset>
                </wp:positionH>
                <wp:positionV relativeFrom="paragraph">
                  <wp:posOffset>4571048</wp:posOffset>
                </wp:positionV>
                <wp:extent cx="5770245" cy="333375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65640" y="3618075"/>
                          <a:ext cx="576072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44546a"/>
                                <w:sz w:val="18"/>
                                <w:vertAlign w:val="baseline"/>
                              </w:rPr>
                              <w:t xml:space="preserve"> SEQ ábra \* ARABIC 1. ábra SourceTree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86045</wp:posOffset>
                </wp:positionH>
                <wp:positionV relativeFrom="paragraph">
                  <wp:posOffset>4571048</wp:posOffset>
                </wp:positionV>
                <wp:extent cx="5770245" cy="333375"/>
                <wp:effectExtent b="0" l="0" r="0" t="0"/>
                <wp:wrapSquare wrapText="bothSides" distB="0" distT="0" distL="114300" distR="114300"/>
                <wp:docPr id="1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3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70245" cy="333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2">
      <w:pPr>
        <w:ind w:left="566.9291338582675" w:firstLine="141.7322834645671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3. Backend telepítése és indítása Visual Studio Codeban termináljában: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sz w:val="16"/>
          <w:szCs w:val="16"/>
        </w:rPr>
      </w:pPr>
      <w:bookmarkStart w:colFirst="0" w:colLast="0" w:name="_heading=h.go87l44akl0x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telepítés: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npm i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395605</wp:posOffset>
            </wp:positionH>
            <wp:positionV relativeFrom="paragraph">
              <wp:posOffset>412750</wp:posOffset>
            </wp:positionV>
            <wp:extent cx="3581400" cy="714375"/>
            <wp:effectExtent b="0" l="0" r="0" t="0"/>
            <wp:wrapTopAndBottom distB="0" dist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14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indítás: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node src/app/server.js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1273809</wp:posOffset>
            </wp:positionH>
            <wp:positionV relativeFrom="paragraph">
              <wp:posOffset>982980</wp:posOffset>
            </wp:positionV>
            <wp:extent cx="5372100" cy="628015"/>
            <wp:effectExtent b="0" l="0" r="0" t="0"/>
            <wp:wrapTopAndBottom distB="0" dist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6280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4. Frontend telepítése és indítása Visual Studio Codeban termináljában: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telepítés: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npm i -g @angular/cli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367029</wp:posOffset>
            </wp:positionH>
            <wp:positionV relativeFrom="paragraph">
              <wp:posOffset>417195</wp:posOffset>
            </wp:positionV>
            <wp:extent cx="4591685" cy="533400"/>
            <wp:effectExtent b="0" l="0" r="0" t="0"/>
            <wp:wrapTopAndBottom distB="0" dist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53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indítás: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ng serve -o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347979</wp:posOffset>
            </wp:positionH>
            <wp:positionV relativeFrom="paragraph">
              <wp:posOffset>816610</wp:posOffset>
            </wp:positionV>
            <wp:extent cx="5438775" cy="2021205"/>
            <wp:effectExtent b="0" l="0" r="0" t="0"/>
            <wp:wrapTopAndBottom distB="0" distT="0"/>
            <wp:docPr id="2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0212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BackEnd és a FrontEnd indítása Split terminálba kell történnie!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319404</wp:posOffset>
            </wp:positionH>
            <wp:positionV relativeFrom="paragraph">
              <wp:posOffset>2590165</wp:posOffset>
            </wp:positionV>
            <wp:extent cx="5760720" cy="1435100"/>
            <wp:effectExtent b="0" l="0" r="0" t="0"/>
            <wp:wrapTopAndBottom distB="0" distT="0"/>
            <wp:docPr id="41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5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sikeres telepítés és indítás után a weboldal elérhető lesz a böngészőben a következő címe: 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i w:val="0"/>
            <w:iCs w:val="0"/>
            <w:smallCaps w:val="0"/>
            <w:strike w:val="0"/>
            <w:color w:val="0563c1"/>
            <w:sz w:val="26"/>
            <w:szCs w:val="26"/>
            <w:u w:val="single"/>
            <w:shd w:fill="auto" w:val="clear"/>
            <w:vertAlign w:val="baseline"/>
            <w:rtl w:val="0"/>
          </w:rPr>
          <w:t xml:space="preserve">http://localhost:4200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566.9291338582675" w:firstLine="141.732283464567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 Weboldal funkciói: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Kezdőlap: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Lap újra töltéskor változó karakter ajánlás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Bal oldalt keresőlista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Kiválasztott elemnél megjelennek a kategóriában lévő elemek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Szöveges alapú kereső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Szöveg beírásakor automatikusan frissülő eredmény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3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Nyilak és Enter használata lehetséges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Vissza a kezdőlapra, ha rákattintunk az játék ikonjára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GitHub elérési linkje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Rendszerkövetelmények megtekintése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Feedback lehetőség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Changlog nyomon követesé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54611</wp:posOffset>
            </wp:positionH>
            <wp:positionV relativeFrom="paragraph">
              <wp:posOffset>440055</wp:posOffset>
            </wp:positionV>
            <wp:extent cx="6645910" cy="3439160"/>
            <wp:effectExtent b="0" l="0" r="0" t="0"/>
            <wp:wrapTopAndBottom distB="0" dist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91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9">
      <w:pPr>
        <w:ind w:left="566.9291338582675" w:firstLine="141.7322834645671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Keresés: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4329430</wp:posOffset>
            </wp:positionH>
            <wp:positionV relativeFrom="paragraph">
              <wp:posOffset>0</wp:posOffset>
            </wp:positionV>
            <wp:extent cx="1877695" cy="3279775"/>
            <wp:effectExtent b="0" l="0" r="0" t="0"/>
            <wp:wrapSquare wrapText="bothSides" distB="0" distT="0" distL="114300" distR="114300"/>
            <wp:docPr id="44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3279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Keresés eredménye: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Név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Kép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Leírás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*Statisztikája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133350</wp:posOffset>
            </wp:positionH>
            <wp:positionV relativeFrom="paragraph">
              <wp:posOffset>404495</wp:posOffset>
            </wp:positionV>
            <wp:extent cx="3399155" cy="1816100"/>
            <wp:effectExtent b="0" l="0" r="0" t="0"/>
            <wp:wrapTopAndBottom distB="0" distT="0"/>
            <wp:docPr id="3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1816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Keresés Kártyák vagy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Rúnák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 esetén: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Választható vizuális lista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85092</wp:posOffset>
            </wp:positionH>
            <wp:positionV relativeFrom="paragraph">
              <wp:posOffset>497840</wp:posOffset>
            </wp:positionV>
            <wp:extent cx="3094355" cy="1465580"/>
            <wp:effectExtent b="0" l="0" r="0" t="0"/>
            <wp:wrapTopAndBottom distB="0" dist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4655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3293110</wp:posOffset>
            </wp:positionH>
            <wp:positionV relativeFrom="paragraph">
              <wp:posOffset>454025</wp:posOffset>
            </wp:positionV>
            <wp:extent cx="2912110" cy="1548765"/>
            <wp:effectExtent b="0" l="0" r="0" t="0"/>
            <wp:wrapTopAndBottom distB="0" dist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1548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Keresési eredmény Kártyák esetén: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+ Melyik karakterrel kompatibilis az adott kártya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1562100</wp:posOffset>
            </wp:positionH>
            <wp:positionV relativeFrom="paragraph">
              <wp:posOffset>457834</wp:posOffset>
            </wp:positionV>
            <wp:extent cx="2644570" cy="2607523"/>
            <wp:effectExtent b="0" l="0" r="0" t="0"/>
            <wp:wrapTopAndBottom distB="0" dist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44570" cy="26075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Feedback: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Kategória választás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Üzenet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Üzenet elküldése vagy mégsem gomb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Emailcímre megérkezik a Feedback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428625</wp:posOffset>
            </wp:positionH>
            <wp:positionV relativeFrom="paragraph">
              <wp:posOffset>377190</wp:posOffset>
            </wp:positionV>
            <wp:extent cx="2973705" cy="2676525"/>
            <wp:effectExtent b="0" l="0" r="0" t="0"/>
            <wp:wrapTopAndBottom distB="0" dist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3705" cy="26765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419100</wp:posOffset>
            </wp:positionH>
            <wp:positionV relativeFrom="paragraph">
              <wp:posOffset>3072765</wp:posOffset>
            </wp:positionV>
            <wp:extent cx="4438650" cy="1895475"/>
            <wp:effectExtent b="0" l="0" r="0" t="0"/>
            <wp:wrapTopAndBottom distB="0" dist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895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9">
      <w:pPr>
        <w:ind w:left="566.9291338582675" w:firstLine="141.7322834645671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ChangeLog: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Verziószám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Cím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Változtatások leírása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59" w:lineRule="auto"/>
        <w:ind w:left="566.9291338582675" w:right="0" w:firstLine="141.7322834645671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Dátum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180340</wp:posOffset>
            </wp:positionH>
            <wp:positionV relativeFrom="paragraph">
              <wp:posOffset>481965</wp:posOffset>
            </wp:positionV>
            <wp:extent cx="5798185" cy="2425700"/>
            <wp:effectExtent b="0" l="0" r="0" t="0"/>
            <wp:wrapTopAndBottom distB="0" distT="0"/>
            <wp:docPr id="2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2425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54" w:type="default"/>
      <w:footerReference r:id="rId55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jc w:val="center"/>
      <w:rPr>
        <w:rFonts w:ascii="Times New Roman" w:cs="Times New Roman" w:eastAsia="Times New Roman" w:hAnsi="Times New Roman"/>
        <w:sz w:val="26"/>
        <w:szCs w:val="26"/>
      </w:rPr>
    </w:pPr>
    <w:r w:rsidDel="00000000" w:rsidR="00000000" w:rsidRPr="00000000">
      <w:rPr>
        <w:rFonts w:ascii="Times New Roman" w:cs="Times New Roman" w:eastAsia="Times New Roman" w:hAnsi="Times New Roman"/>
        <w:sz w:val="26"/>
        <w:szCs w:val="26"/>
        <w:rtl w:val="0"/>
      </w:rPr>
      <w:t xml:space="preserve">Békéscsabai SZC Trefort Ágoston Technikum, Szakképző Iskola és Kollégium</w:t>
    </w:r>
  </w:p>
  <w:p w:rsidR="00000000" w:rsidDel="00000000" w:rsidP="00000000" w:rsidRDefault="00000000" w:rsidRPr="00000000" w14:paraId="000000A0">
    <w:pPr>
      <w:jc w:val="center"/>
      <w:rPr>
        <w:rFonts w:ascii="Times New Roman" w:cs="Times New Roman" w:eastAsia="Times New Roman" w:hAnsi="Times New Roman"/>
        <w:b w:val="1"/>
        <w:bCs w:val="1"/>
        <w:sz w:val="26"/>
        <w:szCs w:val="26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jc w:val="center"/>
      <w:rPr>
        <w:rFonts w:ascii="Times New Roman" w:cs="Times New Roman" w:eastAsia="Times New Roman" w:hAnsi="Times New Roman"/>
        <w:sz w:val="26"/>
        <w:szCs w:val="2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4.png"/><Relationship Id="rId42" Type="http://schemas.openxmlformats.org/officeDocument/2006/relationships/image" Target="media/image14.png"/><Relationship Id="rId41" Type="http://schemas.openxmlformats.org/officeDocument/2006/relationships/image" Target="media/image11.png"/><Relationship Id="rId44" Type="http://schemas.openxmlformats.org/officeDocument/2006/relationships/hyperlink" Target="http://localhost:4200" TargetMode="External"/><Relationship Id="rId43" Type="http://schemas.openxmlformats.org/officeDocument/2006/relationships/image" Target="media/image42.png"/><Relationship Id="rId46" Type="http://schemas.openxmlformats.org/officeDocument/2006/relationships/image" Target="media/image39.png"/><Relationship Id="rId45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odotengine.org" TargetMode="External"/><Relationship Id="rId48" Type="http://schemas.openxmlformats.org/officeDocument/2006/relationships/image" Target="media/image36.png"/><Relationship Id="rId47" Type="http://schemas.openxmlformats.org/officeDocument/2006/relationships/image" Target="media/image33.png"/><Relationship Id="rId49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5.png"/><Relationship Id="rId8" Type="http://schemas.openxmlformats.org/officeDocument/2006/relationships/image" Target="media/image12.png"/><Relationship Id="rId31" Type="http://schemas.openxmlformats.org/officeDocument/2006/relationships/image" Target="media/image32.png"/><Relationship Id="rId30" Type="http://schemas.openxmlformats.org/officeDocument/2006/relationships/image" Target="media/image40.png"/><Relationship Id="rId33" Type="http://schemas.openxmlformats.org/officeDocument/2006/relationships/image" Target="media/image31.png"/><Relationship Id="rId32" Type="http://schemas.openxmlformats.org/officeDocument/2006/relationships/image" Target="media/image34.png"/><Relationship Id="rId35" Type="http://schemas.openxmlformats.org/officeDocument/2006/relationships/image" Target="media/image25.png"/><Relationship Id="rId34" Type="http://schemas.openxmlformats.org/officeDocument/2006/relationships/image" Target="media/image41.png"/><Relationship Id="rId37" Type="http://schemas.openxmlformats.org/officeDocument/2006/relationships/image" Target="media/image29.png"/><Relationship Id="rId36" Type="http://schemas.openxmlformats.org/officeDocument/2006/relationships/hyperlink" Target="https://github.com/medvemark-10379-svg/Vigrid" TargetMode="External"/><Relationship Id="rId39" Type="http://schemas.openxmlformats.org/officeDocument/2006/relationships/image" Target="media/image20.png"/><Relationship Id="rId38" Type="http://schemas.openxmlformats.org/officeDocument/2006/relationships/image" Target="media/image44.png"/><Relationship Id="rId20" Type="http://schemas.openxmlformats.org/officeDocument/2006/relationships/image" Target="media/image9.png"/><Relationship Id="rId22" Type="http://schemas.openxmlformats.org/officeDocument/2006/relationships/image" Target="media/image16.png"/><Relationship Id="rId21" Type="http://schemas.openxmlformats.org/officeDocument/2006/relationships/image" Target="media/image23.png"/><Relationship Id="rId24" Type="http://schemas.openxmlformats.org/officeDocument/2006/relationships/image" Target="media/image18.png"/><Relationship Id="rId23" Type="http://schemas.openxmlformats.org/officeDocument/2006/relationships/image" Target="media/image28.png"/><Relationship Id="rId26" Type="http://schemas.openxmlformats.org/officeDocument/2006/relationships/image" Target="media/image38.png"/><Relationship Id="rId25" Type="http://schemas.openxmlformats.org/officeDocument/2006/relationships/image" Target="media/image24.png"/><Relationship Id="rId28" Type="http://schemas.openxmlformats.org/officeDocument/2006/relationships/image" Target="media/image2.png"/><Relationship Id="rId27" Type="http://schemas.openxmlformats.org/officeDocument/2006/relationships/image" Target="media/image22.png"/><Relationship Id="rId29" Type="http://schemas.openxmlformats.org/officeDocument/2006/relationships/image" Target="media/image6.png"/><Relationship Id="rId51" Type="http://schemas.openxmlformats.org/officeDocument/2006/relationships/image" Target="media/image1.png"/><Relationship Id="rId50" Type="http://schemas.openxmlformats.org/officeDocument/2006/relationships/image" Target="media/image19.png"/><Relationship Id="rId53" Type="http://schemas.openxmlformats.org/officeDocument/2006/relationships/image" Target="media/image21.png"/><Relationship Id="rId52" Type="http://schemas.openxmlformats.org/officeDocument/2006/relationships/image" Target="media/image5.png"/><Relationship Id="rId11" Type="http://schemas.openxmlformats.org/officeDocument/2006/relationships/image" Target="media/image8.png"/><Relationship Id="rId55" Type="http://schemas.openxmlformats.org/officeDocument/2006/relationships/footer" Target="footer1.xml"/><Relationship Id="rId10" Type="http://schemas.openxmlformats.org/officeDocument/2006/relationships/image" Target="media/image37.png"/><Relationship Id="rId54" Type="http://schemas.openxmlformats.org/officeDocument/2006/relationships/header" Target="header1.xml"/><Relationship Id="rId13" Type="http://schemas.openxmlformats.org/officeDocument/2006/relationships/image" Target="media/image13.png"/><Relationship Id="rId12" Type="http://schemas.openxmlformats.org/officeDocument/2006/relationships/image" Target="media/image3.png"/><Relationship Id="rId15" Type="http://schemas.openxmlformats.org/officeDocument/2006/relationships/image" Target="media/image26.png"/><Relationship Id="rId14" Type="http://schemas.openxmlformats.org/officeDocument/2006/relationships/image" Target="media/image27.png"/><Relationship Id="rId17" Type="http://schemas.openxmlformats.org/officeDocument/2006/relationships/image" Target="media/image17.png"/><Relationship Id="rId16" Type="http://schemas.openxmlformats.org/officeDocument/2006/relationships/image" Target="media/image30.png"/><Relationship Id="rId19" Type="http://schemas.openxmlformats.org/officeDocument/2006/relationships/image" Target="media/image43.png"/><Relationship Id="rId1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EhvFZWlc8OXlU0qnYPRW38VqjA==">CgMxLjAyDmguZ284N2w0NGFrbDB4OAByITFSZ1doSEpueFBpNG9OSlhVUFZ0Y0FUeE0ydjlPbjFoOQ==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