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0DB" w:rsidRPr="00336E46" w:rsidRDefault="00063609" w:rsidP="006573EC">
      <w:pPr>
        <w:jc w:val="center"/>
        <w:rPr>
          <w:b/>
          <w:bCs/>
          <w:sz w:val="28"/>
          <w:szCs w:val="28"/>
        </w:rPr>
      </w:pPr>
      <w:r>
        <w:rPr>
          <w:b/>
          <w:bCs/>
          <w:sz w:val="28"/>
          <w:szCs w:val="28"/>
        </w:rPr>
        <w:t>Cour</w:t>
      </w:r>
      <w:r w:rsidR="006573EC">
        <w:rPr>
          <w:b/>
          <w:bCs/>
          <w:sz w:val="28"/>
          <w:szCs w:val="28"/>
        </w:rPr>
        <w:t xml:space="preserve"> N°8</w:t>
      </w:r>
      <w:r>
        <w:rPr>
          <w:b/>
          <w:bCs/>
          <w:sz w:val="28"/>
          <w:szCs w:val="28"/>
        </w:rPr>
        <w:t> </w:t>
      </w:r>
      <w:bookmarkStart w:id="0" w:name="_GoBack"/>
      <w:bookmarkEnd w:id="0"/>
      <w:r w:rsidR="006573EC">
        <w:rPr>
          <w:b/>
          <w:bCs/>
          <w:sz w:val="28"/>
          <w:szCs w:val="28"/>
        </w:rPr>
        <w:t>: Le sang</w:t>
      </w:r>
    </w:p>
    <w:p w:rsidR="00063609" w:rsidRDefault="00063609" w:rsidP="001B2A6F">
      <w:pPr>
        <w:pStyle w:val="Paragraphedeliste"/>
        <w:ind w:left="540"/>
        <w:rPr>
          <w:rFonts w:asciiTheme="majorBidi" w:hAnsiTheme="majorBidi" w:cstheme="majorBidi"/>
          <w:b/>
          <w:bCs/>
          <w:sz w:val="28"/>
          <w:szCs w:val="28"/>
        </w:rPr>
      </w:pP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Le sang est un tissu conjonctif spécialisé liquide, composé de cellules (les éléments figurés) réparties dans un liquide (le plasma). L'ensemble est véhiculé dans les vaisseaux sanguins. Le volume total du sang d’un adulte humain est de 5 litres. </w:t>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Le sang circule dans un système clos, le système vasculaire selon un flux unidirectionnel. Hors des vaisseaux, il coagule rapidement. Il constitue surtout un système de transport assurant: </w:t>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        -La distribution des substances nutritives à travers l’organisme</w:t>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       - Le transport des déchets vers les organes à fonction excrétoire</w:t>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       - L’acheminement des hormones vers les tissus cibles.  </w:t>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C’est la moelle osseuse qui produit les cellules sanguines au cours d’un processus appelé hématopoïèse.</w:t>
      </w:r>
    </w:p>
    <w:p w:rsidR="006573EC" w:rsidRPr="00E72E65" w:rsidRDefault="006573EC" w:rsidP="006573EC">
      <w:pPr>
        <w:pStyle w:val="Paragraphedeliste"/>
        <w:numPr>
          <w:ilvl w:val="0"/>
          <w:numId w:val="28"/>
        </w:numPr>
        <w:rPr>
          <w:rFonts w:asciiTheme="majorBidi" w:hAnsiTheme="majorBidi" w:cstheme="majorBidi"/>
          <w:b/>
          <w:bCs/>
          <w:i/>
          <w:iCs/>
          <w:sz w:val="24"/>
          <w:szCs w:val="24"/>
        </w:rPr>
      </w:pPr>
      <w:r w:rsidRPr="00E72E65">
        <w:rPr>
          <w:rFonts w:asciiTheme="majorBidi" w:hAnsiTheme="majorBidi" w:cstheme="majorBidi"/>
          <w:b/>
          <w:bCs/>
          <w:i/>
          <w:iCs/>
          <w:sz w:val="24"/>
          <w:szCs w:val="24"/>
        </w:rPr>
        <w:t>La composition du sang</w:t>
      </w:r>
    </w:p>
    <w:p w:rsidR="006573EC" w:rsidRPr="00E72E65" w:rsidRDefault="006573EC" w:rsidP="006573EC">
      <w:pPr>
        <w:pStyle w:val="Paragraphedeliste"/>
        <w:spacing w:line="360" w:lineRule="auto"/>
        <w:rPr>
          <w:rFonts w:asciiTheme="majorBidi" w:hAnsiTheme="majorBidi" w:cstheme="majorBidi"/>
          <w:sz w:val="24"/>
          <w:szCs w:val="24"/>
        </w:rPr>
      </w:pPr>
      <w:r w:rsidRPr="00E72E65">
        <w:rPr>
          <w:rFonts w:asciiTheme="majorBidi" w:hAnsiTheme="majorBidi" w:cstheme="majorBidi"/>
          <w:sz w:val="24"/>
          <w:szCs w:val="24"/>
        </w:rPr>
        <w:t xml:space="preserve"> le sang est constitué de cellules  (globule rouge et blanc et des thrombocytes) et de substance fondamentale (le plasma</w:t>
      </w:r>
      <w:proofErr w:type="gramStart"/>
      <w:r w:rsidRPr="00E72E65">
        <w:rPr>
          <w:rFonts w:asciiTheme="majorBidi" w:hAnsiTheme="majorBidi" w:cstheme="majorBidi"/>
          <w:sz w:val="24"/>
          <w:szCs w:val="24"/>
        </w:rPr>
        <w:t>) .</w:t>
      </w:r>
      <w:proofErr w:type="gramEnd"/>
      <w:r w:rsidRPr="00E72E65">
        <w:rPr>
          <w:rFonts w:asciiTheme="majorBidi" w:hAnsiTheme="majorBidi" w:cstheme="majorBidi"/>
          <w:sz w:val="24"/>
          <w:szCs w:val="24"/>
        </w:rPr>
        <w:t xml:space="preserve"> À l’inverse des autres tissus il est dépourvu de </w:t>
      </w:r>
      <w:r>
        <w:rPr>
          <w:rFonts w:asciiTheme="majorBidi" w:hAnsiTheme="majorBidi" w:cstheme="majorBidi"/>
          <w:sz w:val="24"/>
          <w:szCs w:val="24"/>
        </w:rPr>
        <w:t xml:space="preserve">fibres (collagène ou élastique) </w:t>
      </w:r>
      <w:r w:rsidRPr="00E72E65">
        <w:rPr>
          <w:rFonts w:asciiTheme="majorBidi" w:hAnsiTheme="majorBidi" w:cstheme="majorBidi"/>
          <w:b/>
          <w:bCs/>
          <w:sz w:val="24"/>
          <w:szCs w:val="24"/>
        </w:rPr>
        <w:t>(Figure 21)</w:t>
      </w:r>
      <w:r>
        <w:rPr>
          <w:rFonts w:asciiTheme="majorBidi" w:hAnsiTheme="majorBidi" w:cstheme="majorBidi"/>
          <w:sz w:val="24"/>
          <w:szCs w:val="24"/>
        </w:rPr>
        <w:t>.</w:t>
      </w:r>
    </w:p>
    <w:p w:rsidR="006573EC" w:rsidRDefault="006573EC" w:rsidP="006573EC">
      <w:pPr>
        <w:pStyle w:val="Paragraphedeliste"/>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11179285" wp14:editId="505CB0E3">
            <wp:extent cx="5486400" cy="2432685"/>
            <wp:effectExtent l="0" t="0" r="0" b="5715"/>
            <wp:docPr id="31761" name="Image 31761" descr="Résultat de recherche d'images pour &quot;tissu sanguin, PP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tissu sanguin, PPT&quot;"/>
                    <pic:cNvPicPr>
                      <a:picLocks noChangeAspect="1" noChangeArrowheads="1"/>
                    </pic:cNvPicPr>
                  </pic:nvPicPr>
                  <pic:blipFill>
                    <a:blip r:embed="rId9">
                      <a:extLst>
                        <a:ext uri="{28A0092B-C50C-407E-A947-70E740481C1C}">
                          <a14:useLocalDpi xmlns:a14="http://schemas.microsoft.com/office/drawing/2010/main" val="0"/>
                        </a:ext>
                      </a:extLst>
                    </a:blip>
                    <a:srcRect l="13535" t="22733" r="14012" b="9271"/>
                    <a:stretch>
                      <a:fillRect/>
                    </a:stretch>
                  </pic:blipFill>
                  <pic:spPr bwMode="auto">
                    <a:xfrm>
                      <a:off x="0" y="0"/>
                      <a:ext cx="5486400" cy="2432685"/>
                    </a:xfrm>
                    <a:prstGeom prst="rect">
                      <a:avLst/>
                    </a:prstGeom>
                    <a:noFill/>
                    <a:ln>
                      <a:noFill/>
                    </a:ln>
                  </pic:spPr>
                </pic:pic>
              </a:graphicData>
            </a:graphic>
          </wp:inline>
        </w:drawing>
      </w:r>
    </w:p>
    <w:p w:rsidR="006573EC" w:rsidRDefault="006573EC" w:rsidP="006573EC">
      <w:pPr>
        <w:rPr>
          <w:rFonts w:asciiTheme="majorBidi" w:hAnsiTheme="majorBidi" w:cstheme="majorBidi"/>
          <w:sz w:val="24"/>
          <w:szCs w:val="24"/>
        </w:rPr>
      </w:pPr>
      <w:r>
        <w:rPr>
          <w:rFonts w:asciiTheme="majorBidi" w:hAnsiTheme="majorBidi" w:cstheme="majorBidi"/>
          <w:sz w:val="24"/>
          <w:szCs w:val="24"/>
        </w:rPr>
        <w:t xml:space="preserve">                                                     </w:t>
      </w:r>
      <w:r w:rsidRPr="00E72E65">
        <w:rPr>
          <w:rFonts w:asciiTheme="majorBidi" w:hAnsiTheme="majorBidi" w:cstheme="majorBidi"/>
          <w:b/>
          <w:bCs/>
          <w:sz w:val="24"/>
          <w:szCs w:val="24"/>
        </w:rPr>
        <w:t>Figure 21</w:t>
      </w:r>
      <w:r>
        <w:rPr>
          <w:rFonts w:asciiTheme="majorBidi" w:hAnsiTheme="majorBidi" w:cstheme="majorBidi"/>
          <w:sz w:val="24"/>
          <w:szCs w:val="24"/>
        </w:rPr>
        <w:t> : Composition du sang</w:t>
      </w:r>
    </w:p>
    <w:p w:rsidR="006573EC" w:rsidRPr="00E72E65" w:rsidRDefault="006573EC" w:rsidP="006573EC">
      <w:pPr>
        <w:rPr>
          <w:rFonts w:asciiTheme="majorBidi" w:hAnsiTheme="majorBidi" w:cstheme="majorBidi"/>
          <w:i/>
          <w:iCs/>
          <w:sz w:val="26"/>
          <w:szCs w:val="26"/>
          <w:u w:val="single"/>
        </w:rPr>
      </w:pPr>
      <w:r w:rsidRPr="00E72E65">
        <w:rPr>
          <w:rFonts w:asciiTheme="majorBidi" w:hAnsiTheme="majorBidi" w:cstheme="majorBidi"/>
          <w:i/>
          <w:iCs/>
          <w:sz w:val="26"/>
          <w:szCs w:val="26"/>
          <w:u w:val="single"/>
        </w:rPr>
        <w:t>A-1- Le plasma</w:t>
      </w:r>
    </w:p>
    <w:p w:rsidR="006573EC" w:rsidRPr="00E72E65" w:rsidRDefault="006573EC" w:rsidP="006573EC">
      <w:pPr>
        <w:spacing w:line="360" w:lineRule="auto"/>
        <w:rPr>
          <w:rFonts w:asciiTheme="majorBidi" w:hAnsiTheme="majorBidi" w:cstheme="majorBidi"/>
          <w:sz w:val="24"/>
          <w:szCs w:val="24"/>
        </w:rPr>
      </w:pPr>
      <w:r w:rsidRPr="00E72E65">
        <w:rPr>
          <w:rFonts w:asciiTheme="majorBidi" w:hAnsiTheme="majorBidi" w:cstheme="majorBidi"/>
          <w:sz w:val="24"/>
          <w:szCs w:val="24"/>
        </w:rPr>
        <w:t xml:space="preserve">Le plasma représente environ 55% du volume sanguin. C’est une solution aqueuse dans laquelle baignent les cellules. Le plasma est constitué d’environ 90% d’eau. De couleur jaunâtre, il renferme : </w:t>
      </w:r>
    </w:p>
    <w:p w:rsidR="006573EC" w:rsidRPr="00E72E65" w:rsidRDefault="006573EC" w:rsidP="006573EC">
      <w:pPr>
        <w:pStyle w:val="Paragraphedeliste"/>
        <w:spacing w:line="360" w:lineRule="auto"/>
        <w:ind w:left="465"/>
        <w:rPr>
          <w:rFonts w:asciiTheme="majorBidi" w:hAnsiTheme="majorBidi" w:cstheme="majorBidi"/>
          <w:sz w:val="24"/>
          <w:szCs w:val="24"/>
        </w:rPr>
      </w:pPr>
      <w:r w:rsidRPr="00E72E65">
        <w:rPr>
          <w:rFonts w:asciiTheme="majorBidi" w:hAnsiTheme="majorBidi" w:cstheme="majorBidi"/>
          <w:sz w:val="24"/>
          <w:szCs w:val="24"/>
        </w:rPr>
        <w:lastRenderedPageBreak/>
        <w:t xml:space="preserve">   -Les protéines plasmatiques : sont élaborées par le foie. Ces protéines interviennent dans le maintien du PH sanguin et renferment des facteurs de coagulation (fibrinogène et prothrombine) qui limitent les pertes de sang lors d’une hémorragie. </w:t>
      </w:r>
    </w:p>
    <w:p w:rsidR="006573EC" w:rsidRPr="00E72E65" w:rsidRDefault="006573EC" w:rsidP="006573EC">
      <w:pPr>
        <w:pStyle w:val="Paragraphedeliste"/>
        <w:spacing w:line="360" w:lineRule="auto"/>
        <w:ind w:left="465"/>
        <w:rPr>
          <w:rFonts w:asciiTheme="majorBidi" w:hAnsiTheme="majorBidi" w:cstheme="majorBidi"/>
          <w:sz w:val="24"/>
          <w:szCs w:val="24"/>
        </w:rPr>
      </w:pPr>
      <w:r w:rsidRPr="00E72E65">
        <w:rPr>
          <w:rFonts w:asciiTheme="majorBidi" w:hAnsiTheme="majorBidi" w:cstheme="majorBidi"/>
          <w:sz w:val="24"/>
          <w:szCs w:val="24"/>
        </w:rPr>
        <w:t xml:space="preserve">   -Les Sels (électrolytes) : le sodium, le potassium, le calcium, le magnésium, les chlorures et les bicarbonates. </w:t>
      </w:r>
    </w:p>
    <w:p w:rsidR="006573EC" w:rsidRPr="00E72E65" w:rsidRDefault="006573EC" w:rsidP="006573EC">
      <w:pPr>
        <w:pStyle w:val="Paragraphedeliste"/>
        <w:spacing w:line="360" w:lineRule="auto"/>
        <w:ind w:left="465"/>
        <w:rPr>
          <w:rFonts w:asciiTheme="majorBidi" w:hAnsiTheme="majorBidi" w:cstheme="majorBidi"/>
          <w:sz w:val="24"/>
          <w:szCs w:val="24"/>
        </w:rPr>
      </w:pPr>
      <w:r w:rsidRPr="00E72E65">
        <w:rPr>
          <w:rFonts w:asciiTheme="majorBidi" w:hAnsiTheme="majorBidi" w:cstheme="majorBidi"/>
          <w:sz w:val="24"/>
          <w:szCs w:val="24"/>
        </w:rPr>
        <w:t xml:space="preserve">   -Autres substances : On y retrouve des nutriments comme le glucose, les acides gras, les acides aminés, des déchets du métabolisme comme l’urée et l’acide urique, des gaz respiratoires, oxygène et gaz carbonique et des hormones. </w:t>
      </w:r>
    </w:p>
    <w:p w:rsidR="006573EC" w:rsidRPr="00E72E65" w:rsidRDefault="006573EC" w:rsidP="006573EC">
      <w:pPr>
        <w:pStyle w:val="Paragraphedeliste"/>
        <w:spacing w:line="360" w:lineRule="auto"/>
        <w:ind w:left="465"/>
        <w:rPr>
          <w:rFonts w:asciiTheme="majorBidi" w:hAnsiTheme="majorBidi" w:cstheme="majorBidi"/>
          <w:sz w:val="24"/>
          <w:szCs w:val="24"/>
        </w:rPr>
      </w:pPr>
      <w:r w:rsidRPr="00E72E65">
        <w:rPr>
          <w:rFonts w:asciiTheme="majorBidi" w:hAnsiTheme="majorBidi" w:cstheme="majorBidi"/>
          <w:sz w:val="24"/>
          <w:szCs w:val="24"/>
          <w:shd w:val="clear" w:color="auto" w:fill="FFFFFF"/>
        </w:rPr>
        <w:t>Le plasma contient également des facteurs de coagulation dont les facteurs </w:t>
      </w:r>
      <w:hyperlink r:id="rId10" w:anchor="anti-hemophiliques" w:history="1">
        <w:r w:rsidRPr="00E72E65">
          <w:rPr>
            <w:rStyle w:val="Lienhypertexte"/>
            <w:rFonts w:asciiTheme="majorBidi" w:hAnsiTheme="majorBidi" w:cstheme="majorBidi"/>
            <w:b/>
            <w:bCs/>
            <w:sz w:val="24"/>
            <w:szCs w:val="24"/>
            <w:shd w:val="clear" w:color="auto" w:fill="FFFFFF"/>
          </w:rPr>
          <w:t>anti</w:t>
        </w:r>
        <w:r w:rsidRPr="00E72E65">
          <w:rPr>
            <w:rStyle w:val="Accentuation"/>
            <w:rFonts w:asciiTheme="majorBidi" w:hAnsiTheme="majorBidi" w:cstheme="majorBidi"/>
            <w:b/>
            <w:bCs/>
            <w:sz w:val="24"/>
            <w:szCs w:val="24"/>
            <w:shd w:val="clear" w:color="auto" w:fill="FFFFFF"/>
          </w:rPr>
          <w:t>-</w:t>
        </w:r>
        <w:r w:rsidRPr="00E72E65">
          <w:rPr>
            <w:rStyle w:val="Lienhypertexte"/>
            <w:rFonts w:asciiTheme="majorBidi" w:hAnsiTheme="majorBidi" w:cstheme="majorBidi"/>
            <w:b/>
            <w:bCs/>
            <w:sz w:val="24"/>
            <w:szCs w:val="24"/>
            <w:shd w:val="clear" w:color="auto" w:fill="FFFFFF"/>
          </w:rPr>
          <w:t>hémophiliques</w:t>
        </w:r>
      </w:hyperlink>
      <w:r w:rsidRPr="00E72E65">
        <w:rPr>
          <w:rFonts w:asciiTheme="majorBidi" w:hAnsiTheme="majorBidi" w:cstheme="majorBidi"/>
          <w:sz w:val="24"/>
          <w:szCs w:val="24"/>
          <w:shd w:val="clear" w:color="auto" w:fill="FFFFFF"/>
        </w:rPr>
        <w:t> et des facteurs contre les thromboses. Un déficit héréditaire de ces protéines peut provoquer des hémorragies graves, comme chez les hémophiles</w:t>
      </w:r>
      <w:r w:rsidRPr="00E72E65">
        <w:rPr>
          <w:rFonts w:asciiTheme="majorBidi" w:hAnsiTheme="majorBidi" w:cstheme="majorBidi"/>
          <w:color w:val="262626"/>
          <w:sz w:val="24"/>
          <w:szCs w:val="24"/>
          <w:shd w:val="clear" w:color="auto" w:fill="FFFFFF"/>
        </w:rPr>
        <w:t>.</w:t>
      </w:r>
    </w:p>
    <w:p w:rsidR="006573EC" w:rsidRDefault="006573EC" w:rsidP="006573EC">
      <w:pPr>
        <w:pStyle w:val="Paragraphedeliste"/>
        <w:ind w:left="465"/>
        <w:rPr>
          <w:rFonts w:asciiTheme="majorBidi" w:hAnsiTheme="majorBidi" w:cstheme="majorBidi"/>
          <w:sz w:val="24"/>
          <w:szCs w:val="24"/>
        </w:rPr>
      </w:pPr>
    </w:p>
    <w:p w:rsidR="006573EC" w:rsidRDefault="006573EC" w:rsidP="006573EC">
      <w:pPr>
        <w:pStyle w:val="Paragraphedeliste"/>
        <w:ind w:left="465"/>
        <w:rPr>
          <w:rFonts w:asciiTheme="majorBidi" w:hAnsiTheme="majorBidi" w:cstheme="majorBidi"/>
          <w:sz w:val="24"/>
          <w:szCs w:val="24"/>
        </w:rPr>
      </w:pPr>
    </w:p>
    <w:p w:rsidR="006573EC" w:rsidRPr="00E72E65" w:rsidRDefault="006573EC" w:rsidP="006573EC">
      <w:pPr>
        <w:rPr>
          <w:rFonts w:asciiTheme="majorBidi" w:hAnsiTheme="majorBidi" w:cstheme="majorBidi"/>
          <w:i/>
          <w:iCs/>
          <w:sz w:val="24"/>
          <w:szCs w:val="24"/>
          <w:u w:val="single"/>
        </w:rPr>
      </w:pPr>
      <w:r w:rsidRPr="00E72E65">
        <w:rPr>
          <w:rFonts w:asciiTheme="majorBidi" w:hAnsiTheme="majorBidi" w:cstheme="majorBidi"/>
          <w:i/>
          <w:iCs/>
          <w:sz w:val="24"/>
          <w:szCs w:val="24"/>
          <w:u w:val="single"/>
        </w:rPr>
        <w:t>A-2- Eléments figurés</w:t>
      </w:r>
    </w:p>
    <w:p w:rsidR="006573EC" w:rsidRDefault="006573EC" w:rsidP="006573EC">
      <w:pPr>
        <w:pStyle w:val="Paragraphedeliste"/>
        <w:rPr>
          <w:rFonts w:asciiTheme="majorBidi" w:hAnsiTheme="majorBidi" w:cstheme="majorBidi"/>
          <w:sz w:val="24"/>
          <w:szCs w:val="24"/>
        </w:rPr>
      </w:pPr>
    </w:p>
    <w:p w:rsidR="006573EC" w:rsidRDefault="006573EC" w:rsidP="006573EC">
      <w:pPr>
        <w:pStyle w:val="Paragraphedeliste"/>
        <w:numPr>
          <w:ilvl w:val="0"/>
          <w:numId w:val="21"/>
        </w:numPr>
        <w:rPr>
          <w:rFonts w:asciiTheme="majorBidi" w:hAnsiTheme="majorBidi" w:cstheme="majorBidi"/>
          <w:b/>
          <w:bCs/>
          <w:i/>
          <w:iCs/>
          <w:sz w:val="24"/>
          <w:szCs w:val="24"/>
          <w:u w:val="single"/>
        </w:rPr>
      </w:pPr>
      <w:r>
        <w:rPr>
          <w:rFonts w:asciiTheme="majorBidi" w:hAnsiTheme="majorBidi" w:cstheme="majorBidi"/>
          <w:b/>
          <w:bCs/>
          <w:i/>
          <w:iCs/>
          <w:sz w:val="24"/>
          <w:szCs w:val="24"/>
          <w:u w:val="single"/>
        </w:rPr>
        <w:t>Globules rouges</w:t>
      </w:r>
    </w:p>
    <w:p w:rsidR="006573EC" w:rsidRDefault="006573EC" w:rsidP="006573EC">
      <w:pPr>
        <w:pStyle w:val="Paragraphedeliste"/>
        <w:rPr>
          <w:rFonts w:asciiTheme="majorBidi" w:hAnsiTheme="majorBidi" w:cstheme="majorBidi"/>
          <w:sz w:val="24"/>
          <w:szCs w:val="24"/>
        </w:rPr>
      </w:pP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 xml:space="preserve">Les globules rouges ou érythrocytes sont les cellules sanguines les plus fréquentes hautement spécialisées elles constituent </w:t>
      </w:r>
      <w:proofErr w:type="spellStart"/>
      <w:r>
        <w:rPr>
          <w:rFonts w:asciiTheme="majorBidi" w:hAnsiTheme="majorBidi" w:cstheme="majorBidi"/>
          <w:sz w:val="24"/>
          <w:szCs w:val="24"/>
        </w:rPr>
        <w:t>prés</w:t>
      </w:r>
      <w:proofErr w:type="spellEnd"/>
      <w:r>
        <w:rPr>
          <w:rFonts w:asciiTheme="majorBidi" w:hAnsiTheme="majorBidi" w:cstheme="majorBidi"/>
          <w:sz w:val="24"/>
          <w:szCs w:val="24"/>
        </w:rPr>
        <w:t xml:space="preserve"> de 45 % du volume sanguin, dépourvues de noyau. Leur durée de vie moyenne est de 120 jours, à leur mort, les hématies se fragmentent et sont éliminés par les macrophages de la rate, du foie et d’autres tissus. </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Ils ont un diamètre de 7,5 microns et 0,8 à 2 µm d’épaisseur.</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 xml:space="preserve">Les globules rouges ont une forme de lentille biconcave et sont très déformables. Ils peuvent s’étirer et traverser les capillaires les plus fins (diapédèse). Le cytoplasme est homogène. Sa texture est très finement granulaire : les grains sont des molécules d’hémoglobine (pigment respiratoire) qui assurent le transport de l’oxygène des poumons aux différents tissus de l’organisme. </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 xml:space="preserve">Les hématies jeunes, qui viennent d’être libérées de la moelle osseuse dans le sang, contiennent encore quelques organites bien caractérisés (mitochondries et polyribosomes). Ces cellules sont appelées les réticulocytes, et représentent physiologiquement environ 0,5 à 2 % du nombre des hématies circulantes. </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La membrane plasmique de l'hématie est le siège des antigènes qui déterminent les groupes sanguins (système ABO, système rhésus).</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 xml:space="preserve"> </w:t>
      </w:r>
    </w:p>
    <w:p w:rsidR="006573EC" w:rsidRDefault="006573EC" w:rsidP="006573EC">
      <w:pPr>
        <w:pStyle w:val="Paragraphedeliste"/>
        <w:numPr>
          <w:ilvl w:val="0"/>
          <w:numId w:val="21"/>
        </w:numPr>
        <w:rPr>
          <w:rFonts w:asciiTheme="majorBidi" w:hAnsiTheme="majorBidi" w:cstheme="majorBidi"/>
          <w:b/>
          <w:bCs/>
          <w:i/>
          <w:iCs/>
          <w:sz w:val="24"/>
          <w:szCs w:val="24"/>
          <w:u w:val="single"/>
        </w:rPr>
      </w:pPr>
      <w:r>
        <w:rPr>
          <w:rFonts w:asciiTheme="majorBidi" w:hAnsiTheme="majorBidi" w:cstheme="majorBidi"/>
          <w:b/>
          <w:bCs/>
          <w:i/>
          <w:iCs/>
          <w:sz w:val="24"/>
          <w:szCs w:val="24"/>
          <w:u w:val="single"/>
        </w:rPr>
        <w:lastRenderedPageBreak/>
        <w:t>Globules blancs (leucocytes)</w:t>
      </w:r>
    </w:p>
    <w:p w:rsidR="006573EC" w:rsidRDefault="006573EC" w:rsidP="006573EC">
      <w:pPr>
        <w:pStyle w:val="Paragraphedeliste"/>
        <w:ind w:left="465"/>
        <w:rPr>
          <w:rFonts w:asciiTheme="majorBidi" w:hAnsiTheme="majorBidi" w:cstheme="majorBidi"/>
          <w:b/>
          <w:bCs/>
          <w:i/>
          <w:iCs/>
          <w:sz w:val="24"/>
          <w:szCs w:val="24"/>
          <w:u w:val="single"/>
        </w:rPr>
      </w:pPr>
    </w:p>
    <w:p w:rsidR="006573EC" w:rsidRPr="00E72E65" w:rsidRDefault="006573EC" w:rsidP="006573EC">
      <w:pPr>
        <w:pStyle w:val="Paragraphedeliste"/>
        <w:spacing w:line="360" w:lineRule="auto"/>
        <w:ind w:left="465"/>
        <w:rPr>
          <w:rFonts w:asciiTheme="majorBidi" w:hAnsiTheme="majorBidi" w:cstheme="majorBidi"/>
          <w:sz w:val="24"/>
          <w:szCs w:val="24"/>
        </w:rPr>
      </w:pPr>
      <w:r w:rsidRPr="00E72E65">
        <w:rPr>
          <w:rFonts w:asciiTheme="majorBidi" w:hAnsiTheme="majorBidi" w:cstheme="majorBidi"/>
          <w:sz w:val="24"/>
          <w:szCs w:val="24"/>
        </w:rPr>
        <w:t>Leur nombre total est de 4.000 à 10.000 globules/mm3 chez l’adulte, ils sont 1000 fois moins nombreux que les érythrocytes, ils sont des cellules nucléées correspondant à deux groupes principaux :</w:t>
      </w:r>
    </w:p>
    <w:p w:rsidR="006573EC" w:rsidRPr="00E72E65" w:rsidRDefault="006573EC" w:rsidP="006573EC">
      <w:pPr>
        <w:pStyle w:val="Paragraphedeliste"/>
        <w:numPr>
          <w:ilvl w:val="0"/>
          <w:numId w:val="22"/>
        </w:numPr>
        <w:spacing w:line="360" w:lineRule="auto"/>
        <w:rPr>
          <w:rFonts w:asciiTheme="majorBidi" w:hAnsiTheme="majorBidi" w:cstheme="majorBidi"/>
          <w:sz w:val="24"/>
          <w:szCs w:val="24"/>
        </w:rPr>
      </w:pPr>
      <w:r w:rsidRPr="00E72E65">
        <w:rPr>
          <w:rFonts w:asciiTheme="majorBidi" w:hAnsiTheme="majorBidi" w:cstheme="majorBidi"/>
          <w:b/>
          <w:bCs/>
          <w:color w:val="FF0000"/>
          <w:sz w:val="24"/>
          <w:szCs w:val="24"/>
          <w:u w:val="single"/>
        </w:rPr>
        <w:t>Les leucocytes granuleux ou polynucléaires</w:t>
      </w:r>
      <w:r w:rsidRPr="00E72E65">
        <w:rPr>
          <w:rFonts w:asciiTheme="majorBidi" w:hAnsiTheme="majorBidi" w:cstheme="majorBidi"/>
          <w:sz w:val="24"/>
          <w:szCs w:val="24"/>
        </w:rPr>
        <w:t>: Ils possèdent de nombreuses granulations spécifiques dans le cytoplasme, le noyau possède plusieurs lobes qui sont reliés par de fins filaments de chromatine ce qui leur a value le nom de polynucléaires. Selon leur affinité tinctoriale, on définit trois groupes : - Les neutrophiles (très nombreux : 45 à 70 %). - Les éosinophiles (2 à 4 %</w:t>
      </w:r>
      <w:r>
        <w:rPr>
          <w:rFonts w:asciiTheme="majorBidi" w:hAnsiTheme="majorBidi" w:cstheme="majorBidi"/>
          <w:sz w:val="24"/>
          <w:szCs w:val="24"/>
        </w:rPr>
        <w:t xml:space="preserve">). - Les basophiles (0 à 1 %) </w:t>
      </w:r>
      <w:r w:rsidRPr="00E72E65">
        <w:rPr>
          <w:rFonts w:asciiTheme="majorBidi" w:hAnsiTheme="majorBidi" w:cstheme="majorBidi"/>
          <w:b/>
          <w:bCs/>
          <w:sz w:val="24"/>
          <w:szCs w:val="24"/>
        </w:rPr>
        <w:t>(Figure 22)</w:t>
      </w:r>
      <w:r>
        <w:rPr>
          <w:rFonts w:asciiTheme="majorBidi" w:hAnsiTheme="majorBidi" w:cstheme="majorBidi"/>
          <w:sz w:val="24"/>
          <w:szCs w:val="24"/>
        </w:rPr>
        <w:t>.</w:t>
      </w:r>
    </w:p>
    <w:p w:rsidR="006573EC" w:rsidRPr="00E72E65" w:rsidRDefault="006573EC" w:rsidP="006573EC">
      <w:pPr>
        <w:pStyle w:val="Paragraphedeliste"/>
        <w:numPr>
          <w:ilvl w:val="0"/>
          <w:numId w:val="23"/>
        </w:numPr>
        <w:spacing w:line="360" w:lineRule="auto"/>
        <w:rPr>
          <w:rFonts w:asciiTheme="majorBidi" w:hAnsiTheme="majorBidi" w:cstheme="majorBidi"/>
          <w:sz w:val="24"/>
          <w:szCs w:val="24"/>
        </w:rPr>
      </w:pPr>
      <w:r w:rsidRPr="00E72E65">
        <w:rPr>
          <w:rFonts w:asciiTheme="majorBidi" w:hAnsiTheme="majorBidi" w:cstheme="majorBidi"/>
          <w:b/>
          <w:bCs/>
          <w:sz w:val="24"/>
          <w:szCs w:val="24"/>
        </w:rPr>
        <w:t xml:space="preserve">les polynucléaires neutrophiles (PNN): </w:t>
      </w:r>
      <w:r w:rsidRPr="00E72E65">
        <w:rPr>
          <w:rFonts w:asciiTheme="majorBidi" w:hAnsiTheme="majorBidi" w:cstheme="majorBidi"/>
          <w:sz w:val="24"/>
          <w:szCs w:val="24"/>
        </w:rPr>
        <w:t xml:space="preserve">jouent un rôle de phagocytose, interviennent dans les processus d’infections bactériennes et dans les réactions inflammatoires provoquées par l’accumulation de microbes, de toxines et de débris cellulaires. Ils sont très mobiles. Les polynucléaires neutrophiles ont une durée de vie courte (3 à 4 jours). Ils sont incapables de se diviser. </w:t>
      </w:r>
    </w:p>
    <w:p w:rsidR="006573EC" w:rsidRPr="00E72E65" w:rsidRDefault="006573EC" w:rsidP="006573EC">
      <w:pPr>
        <w:pStyle w:val="Paragraphedeliste"/>
        <w:numPr>
          <w:ilvl w:val="0"/>
          <w:numId w:val="23"/>
        </w:numPr>
        <w:spacing w:line="360" w:lineRule="auto"/>
        <w:rPr>
          <w:rFonts w:asciiTheme="majorBidi" w:hAnsiTheme="majorBidi" w:cstheme="majorBidi"/>
          <w:sz w:val="24"/>
          <w:szCs w:val="24"/>
        </w:rPr>
      </w:pPr>
      <w:r w:rsidRPr="00E72E65">
        <w:rPr>
          <w:rFonts w:asciiTheme="majorBidi" w:hAnsiTheme="majorBidi" w:cstheme="majorBidi"/>
          <w:b/>
          <w:bCs/>
          <w:sz w:val="24"/>
          <w:szCs w:val="24"/>
        </w:rPr>
        <w:t xml:space="preserve">les polynucléaires éosinophiles (PNE): </w:t>
      </w:r>
      <w:r w:rsidRPr="00E72E65">
        <w:rPr>
          <w:rFonts w:asciiTheme="majorBidi" w:hAnsiTheme="majorBidi" w:cstheme="majorBidi"/>
          <w:sz w:val="24"/>
          <w:szCs w:val="24"/>
        </w:rPr>
        <w:t>Le pourcentage des granulocytes éosinophiles est nettement augmenté dans les maladies allergiques. Ils interviennent également dans la défense de l’organisme pour lutter contre les parasites. Ces granulocytes effectuent la diapédèse. Leur durée de vie varie de 8 à 10 jours et ils sont incapables de se diviser.</w:t>
      </w:r>
    </w:p>
    <w:p w:rsidR="006573EC" w:rsidRPr="00E72E65" w:rsidRDefault="006573EC" w:rsidP="006573EC">
      <w:pPr>
        <w:pStyle w:val="Paragraphedeliste"/>
        <w:numPr>
          <w:ilvl w:val="0"/>
          <w:numId w:val="23"/>
        </w:numPr>
        <w:spacing w:line="360" w:lineRule="auto"/>
        <w:rPr>
          <w:rFonts w:asciiTheme="majorBidi" w:hAnsiTheme="majorBidi" w:cstheme="majorBidi"/>
          <w:sz w:val="24"/>
          <w:szCs w:val="24"/>
        </w:rPr>
      </w:pPr>
      <w:r w:rsidRPr="00E72E65">
        <w:rPr>
          <w:rFonts w:asciiTheme="majorBidi" w:hAnsiTheme="majorBidi" w:cstheme="majorBidi"/>
          <w:b/>
          <w:bCs/>
          <w:sz w:val="24"/>
          <w:szCs w:val="24"/>
        </w:rPr>
        <w:t xml:space="preserve">les polynucléaires </w:t>
      </w:r>
      <w:proofErr w:type="spellStart"/>
      <w:r w:rsidRPr="00E72E65">
        <w:rPr>
          <w:rFonts w:asciiTheme="majorBidi" w:hAnsiTheme="majorBidi" w:cstheme="majorBidi"/>
          <w:b/>
          <w:bCs/>
          <w:sz w:val="24"/>
          <w:szCs w:val="24"/>
        </w:rPr>
        <w:t>basophil</w:t>
      </w:r>
      <w:proofErr w:type="spellEnd"/>
      <w:r w:rsidRPr="00E72E65">
        <w:rPr>
          <w:rFonts w:asciiTheme="majorBidi" w:hAnsiTheme="majorBidi" w:cstheme="majorBidi"/>
          <w:b/>
          <w:bCs/>
          <w:sz w:val="24"/>
          <w:szCs w:val="24"/>
        </w:rPr>
        <w:t xml:space="preserve">: </w:t>
      </w:r>
      <w:r w:rsidRPr="00E72E65">
        <w:rPr>
          <w:rFonts w:asciiTheme="majorBidi" w:hAnsiTheme="majorBidi" w:cstheme="majorBidi"/>
          <w:sz w:val="24"/>
          <w:szCs w:val="24"/>
        </w:rPr>
        <w:t>Ce sont des éléments très rares qui mesurent environ (10 à 12µm) sur les frottis et représentent (0,5 à 1%) de l’ensemble des leucocytes. Elles renferment de l’histamine qui est libérée au cours des réactions inflammatoires provocant la vasodilatation et l’augmentation de perméabilité des capillaires.</w:t>
      </w:r>
    </w:p>
    <w:p w:rsidR="006573EC" w:rsidRPr="00E72E65" w:rsidRDefault="006573EC" w:rsidP="006573EC">
      <w:pPr>
        <w:pStyle w:val="Paragraphedeliste"/>
        <w:spacing w:line="360" w:lineRule="auto"/>
        <w:ind w:left="1260"/>
        <w:rPr>
          <w:rFonts w:asciiTheme="majorBidi" w:hAnsiTheme="majorBidi" w:cstheme="majorBidi"/>
          <w:sz w:val="24"/>
          <w:szCs w:val="24"/>
        </w:rPr>
      </w:pPr>
      <w:r w:rsidRPr="00E72E65">
        <w:rPr>
          <w:rFonts w:asciiTheme="majorBidi" w:hAnsiTheme="majorBidi" w:cstheme="majorBidi"/>
          <w:noProof/>
          <w:sz w:val="24"/>
          <w:szCs w:val="24"/>
        </w:rPr>
        <w:lastRenderedPageBreak/>
        <w:drawing>
          <wp:inline distT="0" distB="0" distL="0" distR="0" wp14:anchorId="0290B262" wp14:editId="0418066A">
            <wp:extent cx="4572000" cy="2924175"/>
            <wp:effectExtent l="0" t="0" r="0" b="9525"/>
            <wp:docPr id="31760" name="Image 3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924175"/>
                    </a:xfrm>
                    <a:prstGeom prst="rect">
                      <a:avLst/>
                    </a:prstGeom>
                    <a:noFill/>
                    <a:ln>
                      <a:noFill/>
                    </a:ln>
                  </pic:spPr>
                </pic:pic>
              </a:graphicData>
            </a:graphic>
          </wp:inline>
        </w:drawing>
      </w:r>
    </w:p>
    <w:p w:rsidR="006573EC" w:rsidRDefault="006573EC" w:rsidP="006573EC">
      <w:pPr>
        <w:pStyle w:val="Paragraphedeliste"/>
        <w:spacing w:line="360" w:lineRule="auto"/>
        <w:ind w:left="1260"/>
        <w:rPr>
          <w:rFonts w:asciiTheme="majorBidi" w:hAnsiTheme="majorBidi" w:cstheme="majorBidi"/>
          <w:sz w:val="24"/>
          <w:szCs w:val="24"/>
        </w:rPr>
      </w:pPr>
      <w:r>
        <w:rPr>
          <w:rFonts w:asciiTheme="majorBidi" w:hAnsiTheme="majorBidi" w:cstheme="majorBidi"/>
          <w:b/>
          <w:bCs/>
          <w:sz w:val="24"/>
          <w:szCs w:val="24"/>
        </w:rPr>
        <w:t xml:space="preserve">                              </w:t>
      </w:r>
      <w:r w:rsidRPr="00E72E65">
        <w:rPr>
          <w:rFonts w:asciiTheme="majorBidi" w:hAnsiTheme="majorBidi" w:cstheme="majorBidi"/>
          <w:b/>
          <w:bCs/>
          <w:sz w:val="24"/>
          <w:szCs w:val="24"/>
        </w:rPr>
        <w:t>Figure 22</w:t>
      </w:r>
      <w:r>
        <w:rPr>
          <w:rFonts w:asciiTheme="majorBidi" w:hAnsiTheme="majorBidi" w:cstheme="majorBidi"/>
          <w:sz w:val="24"/>
          <w:szCs w:val="24"/>
        </w:rPr>
        <w:t> : Les polynucléaires</w:t>
      </w:r>
    </w:p>
    <w:p w:rsidR="006573EC" w:rsidRPr="00E72E65" w:rsidRDefault="006573EC" w:rsidP="006573EC">
      <w:pPr>
        <w:pStyle w:val="Paragraphedeliste"/>
        <w:spacing w:line="360" w:lineRule="auto"/>
        <w:ind w:left="1260"/>
        <w:rPr>
          <w:rFonts w:asciiTheme="majorBidi" w:hAnsiTheme="majorBidi" w:cstheme="majorBidi"/>
          <w:sz w:val="24"/>
          <w:szCs w:val="24"/>
        </w:rPr>
      </w:pPr>
    </w:p>
    <w:p w:rsidR="006573EC" w:rsidRPr="00E72E65" w:rsidRDefault="006573EC" w:rsidP="006573EC">
      <w:pPr>
        <w:pStyle w:val="Paragraphedeliste"/>
        <w:numPr>
          <w:ilvl w:val="0"/>
          <w:numId w:val="22"/>
        </w:numPr>
        <w:spacing w:line="360" w:lineRule="auto"/>
        <w:rPr>
          <w:rFonts w:asciiTheme="majorBidi" w:hAnsiTheme="majorBidi" w:cstheme="majorBidi"/>
          <w:sz w:val="24"/>
          <w:szCs w:val="24"/>
        </w:rPr>
      </w:pPr>
      <w:r w:rsidRPr="00E72E65">
        <w:rPr>
          <w:rFonts w:asciiTheme="majorBidi" w:hAnsiTheme="majorBidi" w:cstheme="majorBidi"/>
          <w:b/>
          <w:bCs/>
          <w:color w:val="FF0000"/>
          <w:sz w:val="24"/>
          <w:szCs w:val="24"/>
          <w:u w:val="single"/>
        </w:rPr>
        <w:t>Les leucocytes hyalins à cytoplasme d’aspect général homogène :</w:t>
      </w:r>
      <w:r w:rsidRPr="00E72E65">
        <w:rPr>
          <w:rFonts w:asciiTheme="majorBidi" w:hAnsiTheme="majorBidi" w:cstheme="majorBidi"/>
          <w:sz w:val="24"/>
          <w:szCs w:val="24"/>
        </w:rPr>
        <w:t xml:space="preserve"> Les leucocytes hyalins présentent un noyau régulier non polylobé et ne possèdent pas de granulations spécifiques. Il s’agit des lymphocytes et des monocytes.</w:t>
      </w:r>
    </w:p>
    <w:p w:rsidR="006573EC" w:rsidRPr="00E72E65" w:rsidRDefault="006573EC" w:rsidP="006573EC">
      <w:pPr>
        <w:pStyle w:val="Paragraphedeliste"/>
        <w:spacing w:line="360" w:lineRule="auto"/>
        <w:ind w:left="465"/>
        <w:rPr>
          <w:rFonts w:asciiTheme="majorBidi" w:hAnsiTheme="majorBidi" w:cstheme="majorBidi"/>
          <w:sz w:val="24"/>
          <w:szCs w:val="24"/>
        </w:rPr>
      </w:pPr>
    </w:p>
    <w:p w:rsidR="006573EC" w:rsidRPr="00E72E65" w:rsidRDefault="006573EC" w:rsidP="006573EC">
      <w:pPr>
        <w:pStyle w:val="Paragraphedeliste"/>
        <w:numPr>
          <w:ilvl w:val="0"/>
          <w:numId w:val="24"/>
        </w:numPr>
        <w:spacing w:line="360" w:lineRule="auto"/>
        <w:rPr>
          <w:rFonts w:asciiTheme="majorBidi" w:hAnsiTheme="majorBidi" w:cstheme="majorBidi"/>
          <w:sz w:val="24"/>
          <w:szCs w:val="24"/>
        </w:rPr>
      </w:pPr>
      <w:r w:rsidRPr="00E72E65">
        <w:rPr>
          <w:rFonts w:asciiTheme="majorBidi" w:hAnsiTheme="majorBidi" w:cstheme="majorBidi"/>
          <w:b/>
          <w:bCs/>
          <w:sz w:val="24"/>
          <w:szCs w:val="24"/>
        </w:rPr>
        <w:t xml:space="preserve"> les lymphocytes : </w:t>
      </w:r>
      <w:r w:rsidRPr="00E72E65">
        <w:rPr>
          <w:rFonts w:asciiTheme="majorBidi" w:hAnsiTheme="majorBidi" w:cstheme="majorBidi"/>
          <w:sz w:val="24"/>
          <w:szCs w:val="24"/>
        </w:rPr>
        <w:t xml:space="preserve">Représentent (20-40%) de l’ensemble des </w:t>
      </w:r>
      <w:proofErr w:type="gramStart"/>
      <w:r w:rsidRPr="00E72E65">
        <w:rPr>
          <w:rFonts w:asciiTheme="majorBidi" w:hAnsiTheme="majorBidi" w:cstheme="majorBidi"/>
          <w:sz w:val="24"/>
          <w:szCs w:val="24"/>
        </w:rPr>
        <w:t>leucocytes .)</w:t>
      </w:r>
      <w:proofErr w:type="gramEnd"/>
      <w:r w:rsidRPr="00E72E65">
        <w:rPr>
          <w:rFonts w:asciiTheme="majorBidi" w:hAnsiTheme="majorBidi" w:cstheme="majorBidi"/>
          <w:sz w:val="24"/>
          <w:szCs w:val="24"/>
        </w:rPr>
        <w:t xml:space="preserve"> Les lymphocytes appartiennent à deux catégories : Les lymphocytes </w:t>
      </w:r>
      <w:proofErr w:type="gramStart"/>
      <w:r w:rsidRPr="00E72E65">
        <w:rPr>
          <w:rFonts w:asciiTheme="majorBidi" w:hAnsiTheme="majorBidi" w:cstheme="majorBidi"/>
          <w:sz w:val="24"/>
          <w:szCs w:val="24"/>
        </w:rPr>
        <w:t>T(</w:t>
      </w:r>
      <w:proofErr w:type="gramEnd"/>
      <w:r w:rsidRPr="00E72E65">
        <w:rPr>
          <w:rFonts w:asciiTheme="majorBidi" w:hAnsiTheme="majorBidi" w:cstheme="majorBidi"/>
          <w:sz w:val="24"/>
          <w:szCs w:val="24"/>
        </w:rPr>
        <w:t>différenciation dans le thymus), sont impliqués dans les réactions d’immunité cellulaire (infections virales, hypersensibilité). Les lymphocytes B issus de la moelle osseuse, sont impliqués dans les réactions d’immunité humorale (infections bactériennes). La population lymphocytaire sanguine comprend 8 à 12 % de lymphocytes B, 70 à 80 % de lymphocytes T. Leur durée de vie très variable.</w:t>
      </w:r>
    </w:p>
    <w:p w:rsidR="006573EC" w:rsidRPr="00E72E65" w:rsidRDefault="006573EC" w:rsidP="006573EC">
      <w:pPr>
        <w:pStyle w:val="Paragraphedeliste"/>
        <w:spacing w:line="360" w:lineRule="auto"/>
        <w:ind w:left="465"/>
        <w:rPr>
          <w:rFonts w:asciiTheme="majorBidi" w:hAnsiTheme="majorBidi" w:cstheme="majorBidi"/>
          <w:b/>
          <w:bCs/>
          <w:sz w:val="24"/>
          <w:szCs w:val="24"/>
        </w:rPr>
      </w:pPr>
    </w:p>
    <w:p w:rsidR="006573EC" w:rsidRPr="00E72E65" w:rsidRDefault="006573EC" w:rsidP="006573EC">
      <w:pPr>
        <w:pStyle w:val="Paragraphedeliste"/>
        <w:numPr>
          <w:ilvl w:val="0"/>
          <w:numId w:val="24"/>
        </w:numPr>
        <w:spacing w:line="360" w:lineRule="auto"/>
        <w:rPr>
          <w:rFonts w:asciiTheme="majorBidi" w:hAnsiTheme="majorBidi" w:cstheme="majorBidi"/>
          <w:sz w:val="24"/>
          <w:szCs w:val="24"/>
        </w:rPr>
      </w:pPr>
      <w:r w:rsidRPr="00E72E65">
        <w:rPr>
          <w:rFonts w:asciiTheme="majorBidi" w:hAnsiTheme="majorBidi" w:cstheme="majorBidi"/>
          <w:b/>
          <w:bCs/>
          <w:sz w:val="24"/>
          <w:szCs w:val="24"/>
        </w:rPr>
        <w:t xml:space="preserve">les monocytes : </w:t>
      </w:r>
      <w:r w:rsidRPr="00E72E65">
        <w:rPr>
          <w:rFonts w:asciiTheme="majorBidi" w:hAnsiTheme="majorBidi" w:cstheme="majorBidi"/>
          <w:sz w:val="24"/>
          <w:szCs w:val="24"/>
        </w:rPr>
        <w:t xml:space="preserve">Leur diamètre varie entre 12 et 15 µm ; c’est la plus volumineuse des cellules sanguines. Les monocytes représentent (3 à 7%). Ces cellules ne séjournent que pendant 24 à 48 heures dans le sang avant de migrer dans les tissus où ils se transforment en macrophages. Ils participent activement dans la défense de l’organisme </w:t>
      </w:r>
    </w:p>
    <w:p w:rsidR="006573EC" w:rsidRDefault="006573EC" w:rsidP="006573EC">
      <w:pPr>
        <w:spacing w:line="360" w:lineRule="auto"/>
        <w:ind w:left="465"/>
        <w:rPr>
          <w:rFonts w:asciiTheme="majorBidi" w:hAnsiTheme="majorBidi" w:cstheme="majorBidi"/>
          <w:b/>
          <w:bCs/>
          <w:sz w:val="24"/>
          <w:szCs w:val="24"/>
        </w:rPr>
      </w:pPr>
    </w:p>
    <w:p w:rsidR="006573EC" w:rsidRDefault="006573EC" w:rsidP="006573EC">
      <w:pPr>
        <w:ind w:left="465"/>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7DBF87A3" wp14:editId="37C37C17">
            <wp:extent cx="5020310" cy="2941320"/>
            <wp:effectExtent l="0" t="0" r="8890" b="0"/>
            <wp:docPr id="31759" name="Image 31759" descr="Résultat de recherche d'images pour &quot;lymphocytes, monocyt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lymphocytes, monocyte&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0310" cy="2941320"/>
                    </a:xfrm>
                    <a:prstGeom prst="rect">
                      <a:avLst/>
                    </a:prstGeom>
                    <a:noFill/>
                    <a:ln>
                      <a:noFill/>
                    </a:ln>
                  </pic:spPr>
                </pic:pic>
              </a:graphicData>
            </a:graphic>
          </wp:inline>
        </w:drawing>
      </w:r>
    </w:p>
    <w:p w:rsidR="006573EC" w:rsidRDefault="006573EC" w:rsidP="006573EC">
      <w:pPr>
        <w:pStyle w:val="Paragraphedeliste"/>
        <w:ind w:left="465"/>
        <w:rPr>
          <w:rFonts w:asciiTheme="majorBidi" w:hAnsiTheme="majorBidi" w:cstheme="majorBidi"/>
          <w:sz w:val="24"/>
          <w:szCs w:val="24"/>
        </w:rPr>
      </w:pPr>
      <w:r>
        <w:rPr>
          <w:rFonts w:asciiTheme="majorBidi" w:hAnsiTheme="majorBidi" w:cstheme="majorBidi"/>
          <w:b/>
          <w:bCs/>
          <w:sz w:val="24"/>
          <w:szCs w:val="24"/>
        </w:rPr>
        <w:t xml:space="preserve">      </w:t>
      </w:r>
      <w:r w:rsidRPr="00E72E65">
        <w:rPr>
          <w:rFonts w:asciiTheme="majorBidi" w:hAnsiTheme="majorBidi" w:cstheme="majorBidi"/>
          <w:b/>
          <w:bCs/>
          <w:sz w:val="24"/>
          <w:szCs w:val="24"/>
        </w:rPr>
        <w:t xml:space="preserve">                                    Figure 23</w:t>
      </w:r>
      <w:r w:rsidRPr="00E72E65">
        <w:rPr>
          <w:rFonts w:asciiTheme="majorBidi" w:hAnsiTheme="majorBidi" w:cstheme="majorBidi"/>
          <w:sz w:val="24"/>
          <w:szCs w:val="24"/>
        </w:rPr>
        <w:t xml:space="preserve"> : Les </w:t>
      </w:r>
      <w:r>
        <w:rPr>
          <w:rFonts w:asciiTheme="majorBidi" w:hAnsiTheme="majorBidi" w:cstheme="majorBidi"/>
          <w:sz w:val="24"/>
          <w:szCs w:val="24"/>
        </w:rPr>
        <w:t>éléments figurés du sang</w:t>
      </w:r>
    </w:p>
    <w:p w:rsidR="006573EC" w:rsidRPr="00E72E65" w:rsidRDefault="006573EC" w:rsidP="006573EC">
      <w:pPr>
        <w:pStyle w:val="Paragraphedeliste"/>
        <w:ind w:left="465"/>
        <w:rPr>
          <w:rFonts w:asciiTheme="majorBidi" w:hAnsiTheme="majorBidi" w:cstheme="majorBidi"/>
          <w:b/>
          <w:bCs/>
          <w:sz w:val="24"/>
          <w:szCs w:val="24"/>
        </w:rPr>
      </w:pPr>
    </w:p>
    <w:p w:rsidR="006573EC" w:rsidRDefault="006573EC" w:rsidP="006573EC">
      <w:pPr>
        <w:pStyle w:val="Paragraphedeliste"/>
        <w:numPr>
          <w:ilvl w:val="0"/>
          <w:numId w:val="21"/>
        </w:numPr>
        <w:rPr>
          <w:rFonts w:asciiTheme="majorBidi" w:hAnsiTheme="majorBidi" w:cstheme="majorBidi"/>
          <w:b/>
          <w:bCs/>
          <w:i/>
          <w:iCs/>
          <w:sz w:val="24"/>
          <w:szCs w:val="24"/>
          <w:u w:val="single"/>
        </w:rPr>
      </w:pPr>
      <w:proofErr w:type="gramStart"/>
      <w:r>
        <w:rPr>
          <w:rFonts w:asciiTheme="majorBidi" w:hAnsiTheme="majorBidi" w:cstheme="majorBidi"/>
          <w:b/>
          <w:bCs/>
          <w:i/>
          <w:iCs/>
          <w:sz w:val="24"/>
          <w:szCs w:val="24"/>
          <w:u w:val="single"/>
        </w:rPr>
        <w:t>Les plaquette</w:t>
      </w:r>
      <w:proofErr w:type="gramEnd"/>
      <w:r>
        <w:rPr>
          <w:rFonts w:asciiTheme="majorBidi" w:hAnsiTheme="majorBidi" w:cstheme="majorBidi"/>
          <w:b/>
          <w:bCs/>
          <w:i/>
          <w:iCs/>
          <w:sz w:val="24"/>
          <w:szCs w:val="24"/>
          <w:u w:val="single"/>
        </w:rPr>
        <w:t xml:space="preserve"> (thrombocytes)</w:t>
      </w:r>
    </w:p>
    <w:p w:rsidR="006573EC" w:rsidRDefault="006573EC" w:rsidP="006573EC">
      <w:pPr>
        <w:pStyle w:val="Paragraphedeliste"/>
        <w:ind w:left="465"/>
        <w:rPr>
          <w:rFonts w:asciiTheme="majorBidi" w:hAnsiTheme="majorBidi" w:cstheme="majorBidi"/>
          <w:b/>
          <w:bCs/>
          <w:i/>
          <w:iCs/>
          <w:sz w:val="24"/>
          <w:szCs w:val="24"/>
          <w:u w:val="single"/>
        </w:rPr>
      </w:pP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 xml:space="preserve">Ce sont des cellules comme les hématies anucléées, naissent et se détachent de cellules géantes qui se trouvent dans la moelle osseuse </w:t>
      </w:r>
      <w:r w:rsidRPr="00A730FE">
        <w:rPr>
          <w:rFonts w:asciiTheme="majorBidi" w:hAnsiTheme="majorBidi" w:cstheme="majorBidi"/>
          <w:b/>
          <w:bCs/>
          <w:sz w:val="24"/>
          <w:szCs w:val="24"/>
        </w:rPr>
        <w:t>(Figure 23)</w:t>
      </w:r>
      <w:r>
        <w:rPr>
          <w:rFonts w:asciiTheme="majorBidi" w:hAnsiTheme="majorBidi" w:cstheme="majorBidi"/>
          <w:sz w:val="24"/>
          <w:szCs w:val="24"/>
        </w:rPr>
        <w:t xml:space="preserve">. Leur nombre normal est de 150 à 400 milles/mm3 ; elles sont fusiformes ou ovalaires avec un diamètre de 2 à 4 µm. Leur cytoplasme renferme les organites classiques. La membrane plasmique est riche en </w:t>
      </w:r>
      <w:proofErr w:type="spellStart"/>
      <w:r>
        <w:rPr>
          <w:rFonts w:asciiTheme="majorBidi" w:hAnsiTheme="majorBidi" w:cstheme="majorBidi"/>
          <w:sz w:val="24"/>
          <w:szCs w:val="24"/>
        </w:rPr>
        <w:t>mucopolyssacharides</w:t>
      </w:r>
      <w:proofErr w:type="spellEnd"/>
      <w:r>
        <w:rPr>
          <w:rFonts w:asciiTheme="majorBidi" w:hAnsiTheme="majorBidi" w:cstheme="majorBidi"/>
          <w:sz w:val="24"/>
          <w:szCs w:val="24"/>
        </w:rPr>
        <w:t xml:space="preserve">, contenant des protéines et certains facteurs de coagulations. </w:t>
      </w:r>
    </w:p>
    <w:p w:rsidR="006573EC" w:rsidRDefault="006573EC" w:rsidP="006573EC">
      <w:pPr>
        <w:pStyle w:val="Paragraphedeliste"/>
        <w:spacing w:line="360" w:lineRule="auto"/>
        <w:ind w:left="465"/>
        <w:rPr>
          <w:rFonts w:asciiTheme="majorBidi" w:hAnsiTheme="majorBidi" w:cstheme="majorBidi"/>
          <w:sz w:val="24"/>
          <w:szCs w:val="24"/>
        </w:rPr>
      </w:pPr>
      <w:r>
        <w:rPr>
          <w:rFonts w:asciiTheme="majorBidi" w:hAnsiTheme="majorBidi" w:cstheme="majorBidi"/>
          <w:sz w:val="24"/>
          <w:szCs w:val="24"/>
        </w:rPr>
        <w:t>Les thrombocytes jouent un rôle fondamental dans l’hémostase (coagulation sanguine) : c'est- à-dire l’arrêt de l’hémorragie après la blessure d’un vaisseau sanguin) et la formation du caillot plaquettaire. Elles ne peuvent pas se diviser. Leur durée de vie est de 8 à 10 jours et sont détruites notamment dans le foie et dans la rate.</w:t>
      </w:r>
    </w:p>
    <w:p w:rsidR="006573EC" w:rsidRDefault="006573EC" w:rsidP="006573EC">
      <w:pPr>
        <w:pStyle w:val="Paragraphedeliste"/>
        <w:spacing w:line="360" w:lineRule="auto"/>
        <w:ind w:left="465"/>
        <w:rPr>
          <w:rFonts w:asciiTheme="majorBidi" w:hAnsiTheme="majorBidi" w:cstheme="majorBidi"/>
          <w:sz w:val="24"/>
          <w:szCs w:val="24"/>
        </w:rPr>
      </w:pPr>
    </w:p>
    <w:p w:rsidR="006573EC" w:rsidRDefault="006573EC" w:rsidP="006573EC">
      <w:pPr>
        <w:pStyle w:val="Paragraphedeliste"/>
        <w:spacing w:line="360" w:lineRule="auto"/>
        <w:ind w:left="465"/>
        <w:rPr>
          <w:rFonts w:asciiTheme="majorBidi" w:hAnsiTheme="majorBidi" w:cstheme="majorBidi"/>
          <w:sz w:val="24"/>
          <w:szCs w:val="24"/>
        </w:rPr>
      </w:pPr>
    </w:p>
    <w:p w:rsidR="006573EC" w:rsidRDefault="006573EC" w:rsidP="006573EC">
      <w:pPr>
        <w:pStyle w:val="Paragraphedeliste"/>
        <w:ind w:left="465"/>
        <w:rPr>
          <w:rFonts w:asciiTheme="majorBidi" w:hAnsiTheme="majorBidi" w:cstheme="majorBidi"/>
          <w:sz w:val="24"/>
          <w:szCs w:val="24"/>
        </w:rPr>
      </w:pPr>
    </w:p>
    <w:p w:rsidR="006573EC" w:rsidRDefault="006573EC" w:rsidP="006573EC">
      <w:pPr>
        <w:pStyle w:val="Paragraphedeliste"/>
        <w:ind w:left="465"/>
        <w:rPr>
          <w:rFonts w:asciiTheme="majorBidi" w:hAnsiTheme="majorBidi" w:cstheme="majorBidi"/>
          <w:sz w:val="24"/>
          <w:szCs w:val="24"/>
        </w:rPr>
      </w:pPr>
    </w:p>
    <w:p w:rsidR="006573EC" w:rsidRDefault="006573EC" w:rsidP="006573EC">
      <w:pPr>
        <w:pStyle w:val="Paragraphedeliste"/>
        <w:ind w:left="465"/>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9B7D593" wp14:editId="2C895606">
            <wp:extent cx="5753735" cy="2752090"/>
            <wp:effectExtent l="0" t="0" r="0" b="0"/>
            <wp:docPr id="31758" name="Image 31758" descr="Résultat de recherche d'images pour &quot;lymphocytes, monocyt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lymphocytes, monocyte&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35" cy="2752090"/>
                    </a:xfrm>
                    <a:prstGeom prst="rect">
                      <a:avLst/>
                    </a:prstGeom>
                    <a:noFill/>
                    <a:ln>
                      <a:noFill/>
                    </a:ln>
                  </pic:spPr>
                </pic:pic>
              </a:graphicData>
            </a:graphic>
          </wp:inline>
        </w:drawing>
      </w:r>
    </w:p>
    <w:p w:rsidR="006573EC" w:rsidRDefault="006573EC" w:rsidP="006573EC">
      <w:pPr>
        <w:pStyle w:val="zeta"/>
        <w:shd w:val="clear" w:color="auto" w:fill="FFFFFF"/>
        <w:spacing w:before="0" w:beforeAutospacing="0" w:after="0" w:afterAutospacing="0"/>
        <w:rPr>
          <w:rFonts w:asciiTheme="majorBidi" w:hAnsiTheme="majorBidi" w:cstheme="majorBidi"/>
          <w:color w:val="000000"/>
        </w:rPr>
      </w:pPr>
      <w:r>
        <w:rPr>
          <w:rFonts w:asciiTheme="majorBidi" w:hAnsiTheme="majorBidi" w:cstheme="majorBidi"/>
          <w:b/>
          <w:bCs/>
          <w:color w:val="000000"/>
        </w:rPr>
        <w:t xml:space="preserve">                                                          </w:t>
      </w:r>
      <w:r w:rsidRPr="00A730FE">
        <w:rPr>
          <w:rFonts w:asciiTheme="majorBidi" w:hAnsiTheme="majorBidi" w:cstheme="majorBidi"/>
          <w:b/>
          <w:bCs/>
          <w:color w:val="000000"/>
        </w:rPr>
        <w:t>Figure 24</w:t>
      </w:r>
      <w:r>
        <w:rPr>
          <w:rFonts w:asciiTheme="majorBidi" w:hAnsiTheme="majorBidi" w:cstheme="majorBidi"/>
          <w:color w:val="000000"/>
        </w:rPr>
        <w:t> : Les cellules du sang</w:t>
      </w:r>
    </w:p>
    <w:p w:rsidR="006573EC" w:rsidRDefault="006573EC" w:rsidP="006573EC">
      <w:pPr>
        <w:pStyle w:val="zeta"/>
        <w:shd w:val="clear" w:color="auto" w:fill="FFFFFF"/>
        <w:spacing w:before="0" w:beforeAutospacing="0" w:after="0" w:afterAutospacing="0"/>
        <w:rPr>
          <w:rFonts w:asciiTheme="majorBidi" w:hAnsiTheme="majorBidi" w:cstheme="majorBidi"/>
          <w:color w:val="000000"/>
        </w:rPr>
      </w:pPr>
    </w:p>
    <w:p w:rsidR="006573EC" w:rsidRPr="00E72E65" w:rsidRDefault="006573EC" w:rsidP="006573EC">
      <w:pPr>
        <w:pStyle w:val="zeta"/>
        <w:shd w:val="clear" w:color="auto" w:fill="FFFFFF"/>
        <w:spacing w:before="0" w:beforeAutospacing="0" w:after="0" w:afterAutospacing="0" w:line="360" w:lineRule="auto"/>
        <w:rPr>
          <w:rFonts w:asciiTheme="majorBidi" w:hAnsiTheme="majorBidi" w:cstheme="majorBidi"/>
          <w:color w:val="000000"/>
        </w:rPr>
      </w:pPr>
      <w:r w:rsidRPr="00E72E65">
        <w:rPr>
          <w:rFonts w:asciiTheme="majorBidi" w:hAnsiTheme="majorBidi" w:cstheme="majorBidi"/>
          <w:color w:val="000000"/>
        </w:rPr>
        <w:t>Il existe un grand nombre de maladies du sang, aussi appelées hémopathies. On peut toutefois les classer en fonction de l'élément du </w:t>
      </w:r>
      <w:hyperlink r:id="rId14" w:tgtFrame="_blank" w:tooltip="Quelle est la composition du sang ?" w:history="1">
        <w:r w:rsidRPr="00E72E65">
          <w:rPr>
            <w:rStyle w:val="link-wrapper"/>
            <w:rFonts w:asciiTheme="majorBidi" w:hAnsiTheme="majorBidi" w:cstheme="majorBidi"/>
            <w:color w:val="000000"/>
          </w:rPr>
          <w:t>sang</w:t>
        </w:r>
      </w:hyperlink>
      <w:r w:rsidRPr="00E72E65">
        <w:rPr>
          <w:rFonts w:asciiTheme="majorBidi" w:hAnsiTheme="majorBidi" w:cstheme="majorBidi"/>
          <w:color w:val="000000"/>
        </w:rPr>
        <w:t> concerné :</w:t>
      </w:r>
    </w:p>
    <w:p w:rsidR="006573EC" w:rsidRPr="00E72E65" w:rsidRDefault="006573EC" w:rsidP="006573EC">
      <w:pPr>
        <w:pStyle w:val="Titre2"/>
        <w:shd w:val="clear" w:color="auto" w:fill="FFFFFF"/>
        <w:spacing w:before="0" w:line="360" w:lineRule="auto"/>
        <w:rPr>
          <w:rFonts w:asciiTheme="majorBidi" w:hAnsiTheme="majorBidi"/>
          <w:b w:val="0"/>
          <w:bCs w:val="0"/>
          <w:color w:val="000000"/>
          <w:sz w:val="24"/>
          <w:szCs w:val="24"/>
        </w:rPr>
      </w:pPr>
    </w:p>
    <w:p w:rsidR="006573EC" w:rsidRPr="00E72E65" w:rsidRDefault="006573EC" w:rsidP="006573EC">
      <w:pPr>
        <w:pStyle w:val="Titre2"/>
        <w:shd w:val="clear" w:color="auto" w:fill="FFFFFF"/>
        <w:spacing w:before="0" w:line="360" w:lineRule="auto"/>
        <w:rPr>
          <w:rFonts w:asciiTheme="majorBidi" w:hAnsiTheme="majorBidi"/>
          <w:b w:val="0"/>
          <w:bCs w:val="0"/>
          <w:color w:val="000000"/>
          <w:sz w:val="24"/>
          <w:szCs w:val="24"/>
        </w:rPr>
      </w:pPr>
      <w:r w:rsidRPr="00E72E65">
        <w:rPr>
          <w:rFonts w:asciiTheme="majorBidi" w:hAnsiTheme="majorBidi"/>
          <w:b w:val="0"/>
          <w:bCs w:val="0"/>
          <w:color w:val="000000"/>
          <w:sz w:val="24"/>
          <w:szCs w:val="24"/>
        </w:rPr>
        <w:t>1-</w:t>
      </w:r>
      <w:r w:rsidRPr="00E72E65">
        <w:rPr>
          <w:rFonts w:asciiTheme="majorBidi" w:hAnsiTheme="majorBidi"/>
          <w:b w:val="0"/>
          <w:bCs w:val="0"/>
          <w:color w:val="000000"/>
          <w:sz w:val="24"/>
          <w:szCs w:val="24"/>
          <w:u w:val="single"/>
        </w:rPr>
        <w:t>Les maladies des globules blancs</w:t>
      </w:r>
    </w:p>
    <w:p w:rsidR="006573EC" w:rsidRPr="00E72E65" w:rsidRDefault="006573EC" w:rsidP="006573EC">
      <w:pPr>
        <w:pStyle w:val="Paragraphedeliste"/>
        <w:numPr>
          <w:ilvl w:val="0"/>
          <w:numId w:val="25"/>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 xml:space="preserve">Leucopénie, ou baisse du nombre de leucocytes </w:t>
      </w:r>
    </w:p>
    <w:p w:rsidR="006573EC" w:rsidRPr="00E72E65" w:rsidRDefault="006573EC" w:rsidP="006573EC">
      <w:pPr>
        <w:pStyle w:val="Paragraphedeliste"/>
        <w:numPr>
          <w:ilvl w:val="0"/>
          <w:numId w:val="25"/>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 xml:space="preserve">Hyperleucocytose, ou augmentation du nombre de leucocytes </w:t>
      </w:r>
    </w:p>
    <w:p w:rsidR="006573EC" w:rsidRPr="00E72E65" w:rsidRDefault="006573EC" w:rsidP="006573EC">
      <w:pPr>
        <w:pStyle w:val="Paragraphedeliste"/>
        <w:numPr>
          <w:ilvl w:val="0"/>
          <w:numId w:val="25"/>
        </w:numPr>
        <w:shd w:val="clear" w:color="auto" w:fill="FFFFFF"/>
        <w:spacing w:before="100" w:beforeAutospacing="1" w:after="100" w:afterAutospacing="1" w:line="360" w:lineRule="auto"/>
        <w:rPr>
          <w:rFonts w:asciiTheme="majorBidi" w:hAnsiTheme="majorBidi" w:cstheme="majorBidi"/>
          <w:color w:val="000000"/>
          <w:sz w:val="24"/>
          <w:szCs w:val="24"/>
        </w:rPr>
      </w:pPr>
      <w:hyperlink r:id="rId15" w:tgtFrame="_blank" w:tooltip="La leucémie infantile en détail" w:history="1">
        <w:r w:rsidRPr="00E72E65">
          <w:rPr>
            <w:rStyle w:val="link-wrapper"/>
            <w:rFonts w:asciiTheme="majorBidi" w:hAnsiTheme="majorBidi" w:cstheme="majorBidi"/>
            <w:color w:val="000000"/>
            <w:sz w:val="24"/>
            <w:szCs w:val="24"/>
          </w:rPr>
          <w:t>Leucémie</w:t>
        </w:r>
      </w:hyperlink>
      <w:r w:rsidRPr="00E72E65">
        <w:rPr>
          <w:rFonts w:asciiTheme="majorBidi" w:hAnsiTheme="majorBidi" w:cstheme="majorBidi"/>
          <w:color w:val="000000"/>
          <w:sz w:val="24"/>
          <w:szCs w:val="24"/>
        </w:rPr>
        <w:t>, multiplication anormale des leucocytes (</w:t>
      </w:r>
      <w:hyperlink r:id="rId16" w:history="1">
        <w:r w:rsidRPr="00E72E65">
          <w:rPr>
            <w:rStyle w:val="link-wrapper"/>
            <w:rFonts w:asciiTheme="majorBidi" w:hAnsiTheme="majorBidi" w:cstheme="majorBidi"/>
            <w:color w:val="000000"/>
            <w:sz w:val="24"/>
            <w:szCs w:val="24"/>
          </w:rPr>
          <w:t>cancer</w:t>
        </w:r>
      </w:hyperlink>
      <w:r w:rsidRPr="00E72E65">
        <w:rPr>
          <w:rFonts w:asciiTheme="majorBidi" w:hAnsiTheme="majorBidi" w:cstheme="majorBidi"/>
          <w:color w:val="000000"/>
          <w:sz w:val="24"/>
          <w:szCs w:val="24"/>
        </w:rPr>
        <w:t>).</w:t>
      </w:r>
    </w:p>
    <w:p w:rsidR="006573EC" w:rsidRPr="00E72E65" w:rsidRDefault="006573EC" w:rsidP="006573EC">
      <w:pPr>
        <w:pStyle w:val="Titre2"/>
        <w:shd w:val="clear" w:color="auto" w:fill="FFFFFF"/>
        <w:spacing w:before="0" w:line="360" w:lineRule="auto"/>
        <w:rPr>
          <w:rFonts w:asciiTheme="majorBidi" w:hAnsiTheme="majorBidi"/>
          <w:b w:val="0"/>
          <w:bCs w:val="0"/>
          <w:color w:val="000000"/>
          <w:sz w:val="24"/>
          <w:szCs w:val="24"/>
          <w:u w:val="single"/>
        </w:rPr>
      </w:pPr>
      <w:r w:rsidRPr="00E72E65">
        <w:rPr>
          <w:rFonts w:asciiTheme="majorBidi" w:hAnsiTheme="majorBidi"/>
          <w:b w:val="0"/>
          <w:bCs w:val="0"/>
          <w:color w:val="000000"/>
          <w:sz w:val="24"/>
          <w:szCs w:val="24"/>
          <w:u w:val="single"/>
        </w:rPr>
        <w:t>2-Les maladies des globules rouges</w:t>
      </w:r>
    </w:p>
    <w:p w:rsidR="006573EC" w:rsidRPr="00E72E65" w:rsidRDefault="006573EC" w:rsidP="006573EC">
      <w:pPr>
        <w:pStyle w:val="Paragraphedeliste"/>
        <w:numPr>
          <w:ilvl w:val="0"/>
          <w:numId w:val="26"/>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Anémie, ou baisse de la concentration en </w:t>
      </w:r>
      <w:hyperlink r:id="rId17" w:history="1">
        <w:r w:rsidRPr="00E72E65">
          <w:rPr>
            <w:rStyle w:val="link-wrapper"/>
            <w:rFonts w:asciiTheme="majorBidi" w:hAnsiTheme="majorBidi" w:cstheme="majorBidi"/>
            <w:color w:val="000000"/>
            <w:sz w:val="24"/>
            <w:szCs w:val="24"/>
          </w:rPr>
          <w:t>hémoglobine</w:t>
        </w:r>
      </w:hyperlink>
      <w:r w:rsidRPr="00E72E65">
        <w:rPr>
          <w:rFonts w:asciiTheme="majorBidi" w:hAnsiTheme="majorBidi" w:cstheme="majorBidi"/>
          <w:color w:val="000000"/>
          <w:sz w:val="24"/>
          <w:szCs w:val="24"/>
        </w:rPr>
        <w:t> </w:t>
      </w:r>
    </w:p>
    <w:p w:rsidR="006573EC" w:rsidRPr="00E72E65" w:rsidRDefault="006573EC" w:rsidP="006573EC">
      <w:pPr>
        <w:pStyle w:val="Paragraphedeliste"/>
        <w:numPr>
          <w:ilvl w:val="0"/>
          <w:numId w:val="26"/>
        </w:numPr>
        <w:shd w:val="clear" w:color="auto" w:fill="FFFFFF"/>
        <w:spacing w:before="100" w:beforeAutospacing="1" w:after="100" w:afterAutospacing="1" w:line="360" w:lineRule="auto"/>
        <w:rPr>
          <w:rFonts w:asciiTheme="majorBidi" w:hAnsiTheme="majorBidi" w:cstheme="majorBidi"/>
          <w:color w:val="000000"/>
          <w:sz w:val="24"/>
          <w:szCs w:val="24"/>
        </w:rPr>
      </w:pPr>
      <w:hyperlink r:id="rId18" w:tooltip="Les globules blancs, véritables chaperons des globules rouges" w:history="1">
        <w:r w:rsidRPr="00E72E65">
          <w:rPr>
            <w:rStyle w:val="link-wrapper"/>
            <w:rFonts w:asciiTheme="majorBidi" w:hAnsiTheme="majorBidi" w:cstheme="majorBidi"/>
            <w:color w:val="000000"/>
            <w:sz w:val="24"/>
            <w:szCs w:val="24"/>
          </w:rPr>
          <w:t>Polyglobulie</w:t>
        </w:r>
      </w:hyperlink>
      <w:r w:rsidRPr="00E72E65">
        <w:rPr>
          <w:rFonts w:asciiTheme="majorBidi" w:hAnsiTheme="majorBidi" w:cstheme="majorBidi"/>
          <w:color w:val="000000"/>
          <w:sz w:val="24"/>
          <w:szCs w:val="24"/>
        </w:rPr>
        <w:t xml:space="preserve">, ou surproduction de globules rouges </w:t>
      </w:r>
    </w:p>
    <w:p w:rsidR="006573EC" w:rsidRPr="00E72E65" w:rsidRDefault="006573EC" w:rsidP="006573EC">
      <w:pPr>
        <w:pStyle w:val="Paragraphedeliste"/>
        <w:numPr>
          <w:ilvl w:val="0"/>
          <w:numId w:val="26"/>
        </w:numPr>
        <w:shd w:val="clear" w:color="auto" w:fill="FFFFFF"/>
        <w:spacing w:before="100" w:beforeAutospacing="1" w:after="100" w:afterAutospacing="1" w:line="360" w:lineRule="auto"/>
        <w:rPr>
          <w:rFonts w:asciiTheme="majorBidi" w:hAnsiTheme="majorBidi" w:cstheme="majorBidi"/>
          <w:color w:val="000000"/>
          <w:sz w:val="24"/>
          <w:szCs w:val="24"/>
        </w:rPr>
      </w:pPr>
      <w:proofErr w:type="spellStart"/>
      <w:r w:rsidRPr="00E72E65">
        <w:rPr>
          <w:rFonts w:asciiTheme="majorBidi" w:hAnsiTheme="majorBidi" w:cstheme="majorBidi"/>
          <w:color w:val="000000"/>
          <w:sz w:val="24"/>
          <w:szCs w:val="24"/>
        </w:rPr>
        <w:t>Microsphérocytose</w:t>
      </w:r>
      <w:proofErr w:type="spellEnd"/>
      <w:r w:rsidRPr="00E72E65">
        <w:rPr>
          <w:rFonts w:asciiTheme="majorBidi" w:hAnsiTheme="majorBidi" w:cstheme="majorBidi"/>
          <w:color w:val="000000"/>
          <w:sz w:val="24"/>
          <w:szCs w:val="24"/>
        </w:rPr>
        <w:t>, une forme anormale des globules rouges</w:t>
      </w:r>
    </w:p>
    <w:p w:rsidR="006573EC" w:rsidRPr="00E72E65" w:rsidRDefault="006573EC" w:rsidP="006573EC">
      <w:pPr>
        <w:pStyle w:val="Paragraphedeliste"/>
        <w:numPr>
          <w:ilvl w:val="0"/>
          <w:numId w:val="26"/>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Hémoglobinopathie, ou forme anormale de l'hémoglobine.</w:t>
      </w:r>
    </w:p>
    <w:p w:rsidR="006573EC" w:rsidRPr="00E72E65" w:rsidRDefault="006573EC" w:rsidP="006573EC">
      <w:pPr>
        <w:pStyle w:val="Titre2"/>
        <w:shd w:val="clear" w:color="auto" w:fill="FFFFFF"/>
        <w:spacing w:before="0" w:line="360" w:lineRule="auto"/>
        <w:rPr>
          <w:rFonts w:asciiTheme="majorBidi" w:hAnsiTheme="majorBidi"/>
          <w:b w:val="0"/>
          <w:bCs w:val="0"/>
          <w:color w:val="000000"/>
          <w:sz w:val="24"/>
          <w:szCs w:val="24"/>
          <w:u w:val="single"/>
        </w:rPr>
      </w:pPr>
      <w:r w:rsidRPr="00E72E65">
        <w:rPr>
          <w:rFonts w:asciiTheme="majorBidi" w:hAnsiTheme="majorBidi"/>
          <w:b w:val="0"/>
          <w:bCs w:val="0"/>
          <w:color w:val="000000"/>
          <w:sz w:val="24"/>
          <w:szCs w:val="24"/>
          <w:u w:val="single"/>
        </w:rPr>
        <w:t>3-Les maladies des plaquettes</w:t>
      </w:r>
    </w:p>
    <w:p w:rsidR="006573EC" w:rsidRPr="00E72E65" w:rsidRDefault="006573EC" w:rsidP="006573EC">
      <w:pPr>
        <w:pStyle w:val="Paragraphedeliste"/>
        <w:numPr>
          <w:ilvl w:val="0"/>
          <w:numId w:val="27"/>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 xml:space="preserve"> T</w:t>
      </w:r>
      <w:hyperlink r:id="rId19" w:tooltip="Étonnant : les poumons produisent des cellules sanguines" w:history="1">
        <w:r w:rsidRPr="00E72E65">
          <w:rPr>
            <w:rStyle w:val="link-wrapper"/>
            <w:rFonts w:asciiTheme="majorBidi" w:hAnsiTheme="majorBidi" w:cstheme="majorBidi"/>
            <w:color w:val="000000"/>
            <w:sz w:val="24"/>
            <w:szCs w:val="24"/>
          </w:rPr>
          <w:t>hrombopénie</w:t>
        </w:r>
      </w:hyperlink>
      <w:r w:rsidRPr="00E72E65">
        <w:rPr>
          <w:rFonts w:asciiTheme="majorBidi" w:hAnsiTheme="majorBidi" w:cstheme="majorBidi"/>
          <w:color w:val="000000"/>
          <w:sz w:val="24"/>
          <w:szCs w:val="24"/>
        </w:rPr>
        <w:t xml:space="preserve">, baisse du nombre de plaquettes </w:t>
      </w:r>
    </w:p>
    <w:p w:rsidR="006573EC" w:rsidRPr="00E72E65" w:rsidRDefault="006573EC" w:rsidP="006573EC">
      <w:pPr>
        <w:pStyle w:val="Paragraphedeliste"/>
        <w:numPr>
          <w:ilvl w:val="0"/>
          <w:numId w:val="27"/>
        </w:numPr>
        <w:shd w:val="clear" w:color="auto" w:fill="FFFFFF"/>
        <w:spacing w:before="100" w:beforeAutospacing="1" w:after="100" w:afterAutospacing="1" w:line="360" w:lineRule="auto"/>
        <w:rPr>
          <w:rFonts w:asciiTheme="majorBidi" w:hAnsiTheme="majorBidi" w:cstheme="majorBidi"/>
          <w:color w:val="000000"/>
          <w:sz w:val="24"/>
          <w:szCs w:val="24"/>
        </w:rPr>
      </w:pPr>
      <w:r w:rsidRPr="00E72E65">
        <w:rPr>
          <w:rFonts w:asciiTheme="majorBidi" w:hAnsiTheme="majorBidi" w:cstheme="majorBidi"/>
          <w:color w:val="000000"/>
          <w:sz w:val="24"/>
          <w:szCs w:val="24"/>
        </w:rPr>
        <w:t xml:space="preserve"> </w:t>
      </w:r>
      <w:proofErr w:type="spellStart"/>
      <w:r w:rsidRPr="00E72E65">
        <w:rPr>
          <w:rFonts w:asciiTheme="majorBidi" w:hAnsiTheme="majorBidi" w:cstheme="majorBidi"/>
          <w:color w:val="000000"/>
          <w:sz w:val="24"/>
          <w:szCs w:val="24"/>
        </w:rPr>
        <w:t>Hyperplaquettose</w:t>
      </w:r>
      <w:proofErr w:type="spellEnd"/>
      <w:r w:rsidRPr="00E72E65">
        <w:rPr>
          <w:rFonts w:asciiTheme="majorBidi" w:hAnsiTheme="majorBidi" w:cstheme="majorBidi"/>
          <w:color w:val="000000"/>
          <w:sz w:val="24"/>
          <w:szCs w:val="24"/>
        </w:rPr>
        <w:t>, augmentation du nombre de plaquettes.</w:t>
      </w:r>
    </w:p>
    <w:p w:rsidR="006573EC" w:rsidRPr="00E72E65" w:rsidRDefault="006573EC" w:rsidP="006573EC">
      <w:pPr>
        <w:pStyle w:val="zeta"/>
        <w:shd w:val="clear" w:color="auto" w:fill="FFFFFF"/>
        <w:spacing w:before="0" w:beforeAutospacing="0" w:after="0" w:afterAutospacing="0" w:line="360" w:lineRule="auto"/>
        <w:rPr>
          <w:rFonts w:asciiTheme="majorBidi" w:hAnsiTheme="majorBidi" w:cstheme="majorBidi"/>
          <w:color w:val="000000"/>
        </w:rPr>
      </w:pPr>
      <w:r w:rsidRPr="00E72E65">
        <w:rPr>
          <w:rFonts w:asciiTheme="majorBidi" w:hAnsiTheme="majorBidi" w:cstheme="majorBidi"/>
          <w:color w:val="000000"/>
        </w:rPr>
        <w:lastRenderedPageBreak/>
        <w:t>Il existe également des maladies des éléments non figurés du sang, c'est à dire des protéines ou </w:t>
      </w:r>
      <w:hyperlink r:id="rId20" w:history="1">
        <w:r w:rsidRPr="00E72E65">
          <w:rPr>
            <w:rStyle w:val="link-wrapper"/>
            <w:rFonts w:asciiTheme="majorBidi" w:hAnsiTheme="majorBidi" w:cstheme="majorBidi"/>
            <w:color w:val="000000"/>
          </w:rPr>
          <w:t>molécules</w:t>
        </w:r>
      </w:hyperlink>
      <w:r w:rsidRPr="00E72E65">
        <w:rPr>
          <w:rFonts w:asciiTheme="majorBidi" w:hAnsiTheme="majorBidi" w:cstheme="majorBidi"/>
          <w:color w:val="000000"/>
        </w:rPr>
        <w:t> contenues dans le plasma. On peut citer l'</w:t>
      </w:r>
      <w:hyperlink r:id="rId21" w:history="1">
        <w:r w:rsidRPr="00E72E65">
          <w:rPr>
            <w:rStyle w:val="link-wrapper"/>
            <w:rFonts w:asciiTheme="majorBidi" w:hAnsiTheme="majorBidi" w:cstheme="majorBidi"/>
            <w:color w:val="000000"/>
          </w:rPr>
          <w:t>hémophilie</w:t>
        </w:r>
      </w:hyperlink>
      <w:r w:rsidRPr="00E72E65">
        <w:rPr>
          <w:rFonts w:asciiTheme="majorBidi" w:hAnsiTheme="majorBidi" w:cstheme="majorBidi"/>
          <w:color w:val="000000"/>
        </w:rPr>
        <w:t>, l'</w:t>
      </w:r>
      <w:hyperlink r:id="rId22" w:history="1">
        <w:r w:rsidRPr="00E72E65">
          <w:rPr>
            <w:rStyle w:val="link-wrapper"/>
            <w:rFonts w:asciiTheme="majorBidi" w:hAnsiTheme="majorBidi" w:cstheme="majorBidi"/>
            <w:color w:val="000000"/>
          </w:rPr>
          <w:t>hypercholestérolémie</w:t>
        </w:r>
      </w:hyperlink>
      <w:r w:rsidRPr="00E72E65">
        <w:rPr>
          <w:rFonts w:asciiTheme="majorBidi" w:hAnsiTheme="majorBidi" w:cstheme="majorBidi"/>
          <w:color w:val="000000"/>
        </w:rPr>
        <w:t>, le </w:t>
      </w:r>
      <w:hyperlink r:id="rId23" w:tgtFrame="_blank" w:tooltip="Dossier : le diabète" w:history="1">
        <w:r w:rsidRPr="00E72E65">
          <w:rPr>
            <w:rStyle w:val="link-wrapper"/>
            <w:rFonts w:asciiTheme="majorBidi" w:hAnsiTheme="majorBidi" w:cstheme="majorBidi"/>
            <w:color w:val="000000"/>
          </w:rPr>
          <w:t>diabète</w:t>
        </w:r>
      </w:hyperlink>
      <w:r w:rsidRPr="00E72E65">
        <w:rPr>
          <w:rFonts w:asciiTheme="majorBidi" w:hAnsiTheme="majorBidi" w:cstheme="majorBidi"/>
          <w:color w:val="000000"/>
        </w:rPr>
        <w:t>...</w:t>
      </w:r>
    </w:p>
    <w:p w:rsidR="005975EC" w:rsidRPr="004338F2" w:rsidRDefault="005975EC" w:rsidP="006573EC">
      <w:pPr>
        <w:spacing w:line="360" w:lineRule="auto"/>
        <w:rPr>
          <w:rFonts w:asciiTheme="majorBidi" w:hAnsiTheme="majorBidi" w:cstheme="majorBidi"/>
          <w:sz w:val="24"/>
          <w:szCs w:val="24"/>
        </w:rPr>
      </w:pPr>
    </w:p>
    <w:sectPr w:rsidR="005975EC" w:rsidRPr="004338F2">
      <w:head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F7F" w:rsidRDefault="00381F7F" w:rsidP="00A900DB">
      <w:pPr>
        <w:spacing w:after="0" w:line="240" w:lineRule="auto"/>
      </w:pPr>
      <w:r>
        <w:separator/>
      </w:r>
    </w:p>
  </w:endnote>
  <w:endnote w:type="continuationSeparator" w:id="0">
    <w:p w:rsidR="00381F7F" w:rsidRDefault="00381F7F" w:rsidP="00A9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F7F" w:rsidRDefault="00381F7F" w:rsidP="00A900DB">
      <w:pPr>
        <w:spacing w:after="0" w:line="240" w:lineRule="auto"/>
      </w:pPr>
      <w:r>
        <w:separator/>
      </w:r>
    </w:p>
  </w:footnote>
  <w:footnote w:type="continuationSeparator" w:id="0">
    <w:p w:rsidR="00381F7F" w:rsidRDefault="00381F7F" w:rsidP="00A900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457E" w:rsidRDefault="00E7457E" w:rsidP="00A900DB">
    <w:pPr>
      <w:pStyle w:val="En-tte"/>
    </w:pPr>
    <w:r>
      <w:t xml:space="preserve">Cours d’histologie, 1 ère année ESSB d’Oran                                                                                </w:t>
    </w:r>
    <w:r w:rsidRPr="00166BCF">
      <w:rPr>
        <w:b/>
        <w:bCs/>
      </w:rPr>
      <w:t>Dr CHABANE</w:t>
    </w:r>
  </w:p>
  <w:p w:rsidR="00E7457E" w:rsidRDefault="00E7457E">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84EB8"/>
    <w:multiLevelType w:val="hybridMultilevel"/>
    <w:tmpl w:val="40C6591C"/>
    <w:lvl w:ilvl="0" w:tplc="040C000B">
      <w:start w:val="1"/>
      <w:numFmt w:val="bullet"/>
      <w:lvlText w:val=""/>
      <w:lvlJc w:val="left"/>
      <w:pPr>
        <w:ind w:left="1215" w:hanging="360"/>
      </w:pPr>
      <w:rPr>
        <w:rFonts w:ascii="Wingdings" w:hAnsi="Wingdings" w:hint="default"/>
      </w:rPr>
    </w:lvl>
    <w:lvl w:ilvl="1" w:tplc="040C0003" w:tentative="1">
      <w:start w:val="1"/>
      <w:numFmt w:val="bullet"/>
      <w:lvlText w:val="o"/>
      <w:lvlJc w:val="left"/>
      <w:pPr>
        <w:ind w:left="1935" w:hanging="360"/>
      </w:pPr>
      <w:rPr>
        <w:rFonts w:ascii="Courier New" w:hAnsi="Courier New" w:cs="Courier New" w:hint="default"/>
      </w:rPr>
    </w:lvl>
    <w:lvl w:ilvl="2" w:tplc="040C0005" w:tentative="1">
      <w:start w:val="1"/>
      <w:numFmt w:val="bullet"/>
      <w:lvlText w:val=""/>
      <w:lvlJc w:val="left"/>
      <w:pPr>
        <w:ind w:left="2655" w:hanging="360"/>
      </w:pPr>
      <w:rPr>
        <w:rFonts w:ascii="Wingdings" w:hAnsi="Wingdings" w:hint="default"/>
      </w:rPr>
    </w:lvl>
    <w:lvl w:ilvl="3" w:tplc="040C0001" w:tentative="1">
      <w:start w:val="1"/>
      <w:numFmt w:val="bullet"/>
      <w:lvlText w:val=""/>
      <w:lvlJc w:val="left"/>
      <w:pPr>
        <w:ind w:left="3375" w:hanging="360"/>
      </w:pPr>
      <w:rPr>
        <w:rFonts w:ascii="Symbol" w:hAnsi="Symbol" w:hint="default"/>
      </w:rPr>
    </w:lvl>
    <w:lvl w:ilvl="4" w:tplc="040C0003" w:tentative="1">
      <w:start w:val="1"/>
      <w:numFmt w:val="bullet"/>
      <w:lvlText w:val="o"/>
      <w:lvlJc w:val="left"/>
      <w:pPr>
        <w:ind w:left="4095" w:hanging="360"/>
      </w:pPr>
      <w:rPr>
        <w:rFonts w:ascii="Courier New" w:hAnsi="Courier New" w:cs="Courier New" w:hint="default"/>
      </w:rPr>
    </w:lvl>
    <w:lvl w:ilvl="5" w:tplc="040C0005" w:tentative="1">
      <w:start w:val="1"/>
      <w:numFmt w:val="bullet"/>
      <w:lvlText w:val=""/>
      <w:lvlJc w:val="left"/>
      <w:pPr>
        <w:ind w:left="4815" w:hanging="360"/>
      </w:pPr>
      <w:rPr>
        <w:rFonts w:ascii="Wingdings" w:hAnsi="Wingdings" w:hint="default"/>
      </w:rPr>
    </w:lvl>
    <w:lvl w:ilvl="6" w:tplc="040C0001" w:tentative="1">
      <w:start w:val="1"/>
      <w:numFmt w:val="bullet"/>
      <w:lvlText w:val=""/>
      <w:lvlJc w:val="left"/>
      <w:pPr>
        <w:ind w:left="5535" w:hanging="360"/>
      </w:pPr>
      <w:rPr>
        <w:rFonts w:ascii="Symbol" w:hAnsi="Symbol" w:hint="default"/>
      </w:rPr>
    </w:lvl>
    <w:lvl w:ilvl="7" w:tplc="040C0003" w:tentative="1">
      <w:start w:val="1"/>
      <w:numFmt w:val="bullet"/>
      <w:lvlText w:val="o"/>
      <w:lvlJc w:val="left"/>
      <w:pPr>
        <w:ind w:left="6255" w:hanging="360"/>
      </w:pPr>
      <w:rPr>
        <w:rFonts w:ascii="Courier New" w:hAnsi="Courier New" w:cs="Courier New" w:hint="default"/>
      </w:rPr>
    </w:lvl>
    <w:lvl w:ilvl="8" w:tplc="040C0005" w:tentative="1">
      <w:start w:val="1"/>
      <w:numFmt w:val="bullet"/>
      <w:lvlText w:val=""/>
      <w:lvlJc w:val="left"/>
      <w:pPr>
        <w:ind w:left="6975" w:hanging="360"/>
      </w:pPr>
      <w:rPr>
        <w:rFonts w:ascii="Wingdings" w:hAnsi="Wingdings" w:hint="default"/>
      </w:rPr>
    </w:lvl>
  </w:abstractNum>
  <w:abstractNum w:abstractNumId="1">
    <w:nsid w:val="02691F2D"/>
    <w:multiLevelType w:val="hybridMultilevel"/>
    <w:tmpl w:val="EE06EA8E"/>
    <w:lvl w:ilvl="0" w:tplc="CEDA0DF0">
      <w:start w:val="1"/>
      <w:numFmt w:val="decimal"/>
      <w:lvlText w:val="%1-"/>
      <w:lvlJc w:val="lef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0BD62D9"/>
    <w:multiLevelType w:val="hybridMultilevel"/>
    <w:tmpl w:val="D2629546"/>
    <w:lvl w:ilvl="0" w:tplc="E6AAB52C">
      <w:start w:val="2"/>
      <w:numFmt w:val="decimal"/>
      <w:lvlText w:val="%1-"/>
      <w:lvlJc w:val="left"/>
      <w:pPr>
        <w:ind w:left="4020" w:hanging="360"/>
      </w:pPr>
      <w:rPr>
        <w:rFonts w:hint="default"/>
      </w:rPr>
    </w:lvl>
    <w:lvl w:ilvl="1" w:tplc="040C0019" w:tentative="1">
      <w:start w:val="1"/>
      <w:numFmt w:val="lowerLetter"/>
      <w:lvlText w:val="%2."/>
      <w:lvlJc w:val="left"/>
      <w:pPr>
        <w:ind w:left="4740" w:hanging="360"/>
      </w:pPr>
    </w:lvl>
    <w:lvl w:ilvl="2" w:tplc="040C001B" w:tentative="1">
      <w:start w:val="1"/>
      <w:numFmt w:val="lowerRoman"/>
      <w:lvlText w:val="%3."/>
      <w:lvlJc w:val="right"/>
      <w:pPr>
        <w:ind w:left="5460" w:hanging="180"/>
      </w:pPr>
    </w:lvl>
    <w:lvl w:ilvl="3" w:tplc="040C000F" w:tentative="1">
      <w:start w:val="1"/>
      <w:numFmt w:val="decimal"/>
      <w:lvlText w:val="%4."/>
      <w:lvlJc w:val="left"/>
      <w:pPr>
        <w:ind w:left="6180" w:hanging="360"/>
      </w:pPr>
    </w:lvl>
    <w:lvl w:ilvl="4" w:tplc="040C0019" w:tentative="1">
      <w:start w:val="1"/>
      <w:numFmt w:val="lowerLetter"/>
      <w:lvlText w:val="%5."/>
      <w:lvlJc w:val="left"/>
      <w:pPr>
        <w:ind w:left="6900" w:hanging="360"/>
      </w:pPr>
    </w:lvl>
    <w:lvl w:ilvl="5" w:tplc="040C001B" w:tentative="1">
      <w:start w:val="1"/>
      <w:numFmt w:val="lowerRoman"/>
      <w:lvlText w:val="%6."/>
      <w:lvlJc w:val="right"/>
      <w:pPr>
        <w:ind w:left="7620" w:hanging="180"/>
      </w:pPr>
    </w:lvl>
    <w:lvl w:ilvl="6" w:tplc="040C000F" w:tentative="1">
      <w:start w:val="1"/>
      <w:numFmt w:val="decimal"/>
      <w:lvlText w:val="%7."/>
      <w:lvlJc w:val="left"/>
      <w:pPr>
        <w:ind w:left="8340" w:hanging="360"/>
      </w:pPr>
    </w:lvl>
    <w:lvl w:ilvl="7" w:tplc="040C0019" w:tentative="1">
      <w:start w:val="1"/>
      <w:numFmt w:val="lowerLetter"/>
      <w:lvlText w:val="%8."/>
      <w:lvlJc w:val="left"/>
      <w:pPr>
        <w:ind w:left="9060" w:hanging="360"/>
      </w:pPr>
    </w:lvl>
    <w:lvl w:ilvl="8" w:tplc="040C001B" w:tentative="1">
      <w:start w:val="1"/>
      <w:numFmt w:val="lowerRoman"/>
      <w:lvlText w:val="%9."/>
      <w:lvlJc w:val="right"/>
      <w:pPr>
        <w:ind w:left="9780" w:hanging="180"/>
      </w:pPr>
    </w:lvl>
  </w:abstractNum>
  <w:abstractNum w:abstractNumId="3">
    <w:nsid w:val="1399158E"/>
    <w:multiLevelType w:val="multilevel"/>
    <w:tmpl w:val="45B0D6B2"/>
    <w:lvl w:ilvl="0">
      <w:start w:val="1"/>
      <w:numFmt w:val="decimal"/>
      <w:lvlText w:val="%1"/>
      <w:lvlJc w:val="left"/>
      <w:pPr>
        <w:ind w:left="375" w:hanging="375"/>
      </w:pPr>
      <w:rPr>
        <w:rFonts w:hint="default"/>
      </w:rPr>
    </w:lvl>
    <w:lvl w:ilvl="1">
      <w:start w:val="1"/>
      <w:numFmt w:val="decimal"/>
      <w:lvlText w:val="%1-%2"/>
      <w:lvlJc w:val="left"/>
      <w:pPr>
        <w:ind w:left="675" w:hanging="375"/>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4">
    <w:nsid w:val="15663088"/>
    <w:multiLevelType w:val="hybridMultilevel"/>
    <w:tmpl w:val="314A5BF2"/>
    <w:lvl w:ilvl="0" w:tplc="040C000D">
      <w:start w:val="1"/>
      <w:numFmt w:val="bullet"/>
      <w:lvlText w:val=""/>
      <w:lvlJc w:val="left"/>
      <w:pPr>
        <w:ind w:left="1155" w:hanging="360"/>
      </w:pPr>
      <w:rPr>
        <w:rFonts w:ascii="Wingdings" w:hAnsi="Wingdings" w:hint="default"/>
      </w:rPr>
    </w:lvl>
    <w:lvl w:ilvl="1" w:tplc="040C0003">
      <w:start w:val="1"/>
      <w:numFmt w:val="bullet"/>
      <w:lvlText w:val="o"/>
      <w:lvlJc w:val="left"/>
      <w:pPr>
        <w:ind w:left="1875" w:hanging="360"/>
      </w:pPr>
      <w:rPr>
        <w:rFonts w:ascii="Courier New" w:hAnsi="Courier New" w:cs="Courier New" w:hint="default"/>
      </w:rPr>
    </w:lvl>
    <w:lvl w:ilvl="2" w:tplc="040C0005">
      <w:start w:val="1"/>
      <w:numFmt w:val="bullet"/>
      <w:lvlText w:val=""/>
      <w:lvlJc w:val="left"/>
      <w:pPr>
        <w:ind w:left="2595" w:hanging="360"/>
      </w:pPr>
      <w:rPr>
        <w:rFonts w:ascii="Wingdings" w:hAnsi="Wingdings" w:hint="default"/>
      </w:rPr>
    </w:lvl>
    <w:lvl w:ilvl="3" w:tplc="040C0001">
      <w:start w:val="1"/>
      <w:numFmt w:val="bullet"/>
      <w:lvlText w:val=""/>
      <w:lvlJc w:val="left"/>
      <w:pPr>
        <w:ind w:left="3315" w:hanging="360"/>
      </w:pPr>
      <w:rPr>
        <w:rFonts w:ascii="Symbol" w:hAnsi="Symbol" w:hint="default"/>
      </w:rPr>
    </w:lvl>
    <w:lvl w:ilvl="4" w:tplc="040C0003">
      <w:start w:val="1"/>
      <w:numFmt w:val="bullet"/>
      <w:lvlText w:val="o"/>
      <w:lvlJc w:val="left"/>
      <w:pPr>
        <w:ind w:left="4035" w:hanging="360"/>
      </w:pPr>
      <w:rPr>
        <w:rFonts w:ascii="Courier New" w:hAnsi="Courier New" w:cs="Courier New" w:hint="default"/>
      </w:rPr>
    </w:lvl>
    <w:lvl w:ilvl="5" w:tplc="040C0005">
      <w:start w:val="1"/>
      <w:numFmt w:val="bullet"/>
      <w:lvlText w:val=""/>
      <w:lvlJc w:val="left"/>
      <w:pPr>
        <w:ind w:left="4755" w:hanging="360"/>
      </w:pPr>
      <w:rPr>
        <w:rFonts w:ascii="Wingdings" w:hAnsi="Wingdings" w:hint="default"/>
      </w:rPr>
    </w:lvl>
    <w:lvl w:ilvl="6" w:tplc="040C0001">
      <w:start w:val="1"/>
      <w:numFmt w:val="bullet"/>
      <w:lvlText w:val=""/>
      <w:lvlJc w:val="left"/>
      <w:pPr>
        <w:ind w:left="5475" w:hanging="360"/>
      </w:pPr>
      <w:rPr>
        <w:rFonts w:ascii="Symbol" w:hAnsi="Symbol" w:hint="default"/>
      </w:rPr>
    </w:lvl>
    <w:lvl w:ilvl="7" w:tplc="040C0003">
      <w:start w:val="1"/>
      <w:numFmt w:val="bullet"/>
      <w:lvlText w:val="o"/>
      <w:lvlJc w:val="left"/>
      <w:pPr>
        <w:ind w:left="6195" w:hanging="360"/>
      </w:pPr>
      <w:rPr>
        <w:rFonts w:ascii="Courier New" w:hAnsi="Courier New" w:cs="Courier New" w:hint="default"/>
      </w:rPr>
    </w:lvl>
    <w:lvl w:ilvl="8" w:tplc="040C0005">
      <w:start w:val="1"/>
      <w:numFmt w:val="bullet"/>
      <w:lvlText w:val=""/>
      <w:lvlJc w:val="left"/>
      <w:pPr>
        <w:ind w:left="6915" w:hanging="360"/>
      </w:pPr>
      <w:rPr>
        <w:rFonts w:ascii="Wingdings" w:hAnsi="Wingdings" w:hint="default"/>
      </w:rPr>
    </w:lvl>
  </w:abstractNum>
  <w:abstractNum w:abstractNumId="5">
    <w:nsid w:val="1DA030CE"/>
    <w:multiLevelType w:val="hybridMultilevel"/>
    <w:tmpl w:val="536247D4"/>
    <w:lvl w:ilvl="0" w:tplc="5E7E851E">
      <w:start w:val="1"/>
      <w:numFmt w:val="upperLetter"/>
      <w:lvlText w:val="%1-"/>
      <w:lvlJc w:val="left"/>
      <w:pPr>
        <w:ind w:left="540" w:hanging="360"/>
      </w:pPr>
      <w:rPr>
        <w:rFonts w:hint="default"/>
        <w:sz w:val="28"/>
      </w:rPr>
    </w:lvl>
    <w:lvl w:ilvl="1" w:tplc="040C0019" w:tentative="1">
      <w:start w:val="1"/>
      <w:numFmt w:val="lowerLetter"/>
      <w:lvlText w:val="%2."/>
      <w:lvlJc w:val="left"/>
      <w:pPr>
        <w:ind w:left="1260" w:hanging="360"/>
      </w:pPr>
    </w:lvl>
    <w:lvl w:ilvl="2" w:tplc="040C001B" w:tentative="1">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6">
    <w:nsid w:val="1E8F7D29"/>
    <w:multiLevelType w:val="hybridMultilevel"/>
    <w:tmpl w:val="21E81C2A"/>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nsid w:val="26500D92"/>
    <w:multiLevelType w:val="hybridMultilevel"/>
    <w:tmpl w:val="52144AA2"/>
    <w:lvl w:ilvl="0" w:tplc="23A4946A">
      <w:start w:val="1"/>
      <w:numFmt w:val="lowerLetter"/>
      <w:lvlText w:val="%1-"/>
      <w:lvlJc w:val="left"/>
      <w:pPr>
        <w:ind w:left="825" w:hanging="360"/>
      </w:pPr>
      <w:rPr>
        <w:b/>
      </w:rPr>
    </w:lvl>
    <w:lvl w:ilvl="1" w:tplc="040C0019">
      <w:start w:val="1"/>
      <w:numFmt w:val="lowerLetter"/>
      <w:lvlText w:val="%2."/>
      <w:lvlJc w:val="left"/>
      <w:pPr>
        <w:ind w:left="1545" w:hanging="360"/>
      </w:pPr>
    </w:lvl>
    <w:lvl w:ilvl="2" w:tplc="040C001B">
      <w:start w:val="1"/>
      <w:numFmt w:val="lowerRoman"/>
      <w:lvlText w:val="%3."/>
      <w:lvlJc w:val="right"/>
      <w:pPr>
        <w:ind w:left="2265" w:hanging="180"/>
      </w:pPr>
    </w:lvl>
    <w:lvl w:ilvl="3" w:tplc="040C000F">
      <w:start w:val="1"/>
      <w:numFmt w:val="decimal"/>
      <w:lvlText w:val="%4."/>
      <w:lvlJc w:val="left"/>
      <w:pPr>
        <w:ind w:left="2985" w:hanging="360"/>
      </w:pPr>
    </w:lvl>
    <w:lvl w:ilvl="4" w:tplc="040C0019">
      <w:start w:val="1"/>
      <w:numFmt w:val="lowerLetter"/>
      <w:lvlText w:val="%5."/>
      <w:lvlJc w:val="left"/>
      <w:pPr>
        <w:ind w:left="3705" w:hanging="360"/>
      </w:pPr>
    </w:lvl>
    <w:lvl w:ilvl="5" w:tplc="040C001B">
      <w:start w:val="1"/>
      <w:numFmt w:val="lowerRoman"/>
      <w:lvlText w:val="%6."/>
      <w:lvlJc w:val="right"/>
      <w:pPr>
        <w:ind w:left="4425" w:hanging="180"/>
      </w:pPr>
    </w:lvl>
    <w:lvl w:ilvl="6" w:tplc="040C000F">
      <w:start w:val="1"/>
      <w:numFmt w:val="decimal"/>
      <w:lvlText w:val="%7."/>
      <w:lvlJc w:val="left"/>
      <w:pPr>
        <w:ind w:left="5145" w:hanging="360"/>
      </w:pPr>
    </w:lvl>
    <w:lvl w:ilvl="7" w:tplc="040C0019">
      <w:start w:val="1"/>
      <w:numFmt w:val="lowerLetter"/>
      <w:lvlText w:val="%8."/>
      <w:lvlJc w:val="left"/>
      <w:pPr>
        <w:ind w:left="5865" w:hanging="360"/>
      </w:pPr>
    </w:lvl>
    <w:lvl w:ilvl="8" w:tplc="040C001B">
      <w:start w:val="1"/>
      <w:numFmt w:val="lowerRoman"/>
      <w:lvlText w:val="%9."/>
      <w:lvlJc w:val="right"/>
      <w:pPr>
        <w:ind w:left="6585" w:hanging="180"/>
      </w:pPr>
    </w:lvl>
  </w:abstractNum>
  <w:abstractNum w:abstractNumId="8">
    <w:nsid w:val="30EF70A0"/>
    <w:multiLevelType w:val="hybridMultilevel"/>
    <w:tmpl w:val="7466D524"/>
    <w:lvl w:ilvl="0" w:tplc="040C000B">
      <w:start w:val="1"/>
      <w:numFmt w:val="bullet"/>
      <w:lvlText w:val=""/>
      <w:lvlJc w:val="left"/>
      <w:pPr>
        <w:ind w:left="1260" w:hanging="360"/>
      </w:pPr>
      <w:rPr>
        <w:rFonts w:ascii="Wingdings" w:hAnsi="Wingdings"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9">
    <w:nsid w:val="32813A06"/>
    <w:multiLevelType w:val="hybridMultilevel"/>
    <w:tmpl w:val="553438AA"/>
    <w:lvl w:ilvl="0" w:tplc="040C000D">
      <w:start w:val="1"/>
      <w:numFmt w:val="bullet"/>
      <w:lvlText w:val=""/>
      <w:lvlJc w:val="left"/>
      <w:pPr>
        <w:ind w:left="825" w:hanging="360"/>
      </w:pPr>
      <w:rPr>
        <w:rFonts w:ascii="Wingdings" w:hAnsi="Wingdings" w:hint="default"/>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10">
    <w:nsid w:val="36D84CD8"/>
    <w:multiLevelType w:val="hybridMultilevel"/>
    <w:tmpl w:val="DDF0E9B2"/>
    <w:lvl w:ilvl="0" w:tplc="2D50C48A">
      <w:start w:val="1"/>
      <w:numFmt w:val="upperLetter"/>
      <w:lvlText w:val="%1-"/>
      <w:lvlJc w:val="left"/>
      <w:pPr>
        <w:ind w:left="1353" w:hanging="360"/>
      </w:pPr>
      <w:rPr>
        <w:rFonts w:asciiTheme="majorBidi" w:hAnsiTheme="majorBidi" w:cstheme="majorBidi" w:hint="default"/>
        <w:b/>
        <w:sz w:val="24"/>
      </w:r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11">
    <w:nsid w:val="460F65DA"/>
    <w:multiLevelType w:val="multilevel"/>
    <w:tmpl w:val="5F6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0938B8"/>
    <w:multiLevelType w:val="hybridMultilevel"/>
    <w:tmpl w:val="A9F49CBA"/>
    <w:lvl w:ilvl="0" w:tplc="11DC9CE0">
      <w:start w:val="1"/>
      <w:numFmt w:val="decimal"/>
      <w:lvlText w:val="%1-"/>
      <w:lvlJc w:val="left"/>
      <w:pPr>
        <w:ind w:left="1155" w:hanging="360"/>
      </w:pPr>
      <w:rPr>
        <w:rFonts w:hint="default"/>
        <w:b/>
        <w:sz w:val="26"/>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13">
    <w:nsid w:val="503725A8"/>
    <w:multiLevelType w:val="hybridMultilevel"/>
    <w:tmpl w:val="C6B0EE98"/>
    <w:lvl w:ilvl="0" w:tplc="06CE5B7C">
      <w:start w:val="1"/>
      <w:numFmt w:val="bullet"/>
      <w:lvlText w:val="•"/>
      <w:lvlJc w:val="left"/>
      <w:pPr>
        <w:tabs>
          <w:tab w:val="num" w:pos="720"/>
        </w:tabs>
        <w:ind w:left="720" w:hanging="360"/>
      </w:pPr>
      <w:rPr>
        <w:rFonts w:ascii="Arial" w:hAnsi="Arial" w:hint="default"/>
      </w:rPr>
    </w:lvl>
    <w:lvl w:ilvl="1" w:tplc="117C34CE" w:tentative="1">
      <w:start w:val="1"/>
      <w:numFmt w:val="bullet"/>
      <w:lvlText w:val="•"/>
      <w:lvlJc w:val="left"/>
      <w:pPr>
        <w:tabs>
          <w:tab w:val="num" w:pos="1440"/>
        </w:tabs>
        <w:ind w:left="1440" w:hanging="360"/>
      </w:pPr>
      <w:rPr>
        <w:rFonts w:ascii="Arial" w:hAnsi="Arial" w:hint="default"/>
      </w:rPr>
    </w:lvl>
    <w:lvl w:ilvl="2" w:tplc="510A82E0" w:tentative="1">
      <w:start w:val="1"/>
      <w:numFmt w:val="bullet"/>
      <w:lvlText w:val="•"/>
      <w:lvlJc w:val="left"/>
      <w:pPr>
        <w:tabs>
          <w:tab w:val="num" w:pos="2160"/>
        </w:tabs>
        <w:ind w:left="2160" w:hanging="360"/>
      </w:pPr>
      <w:rPr>
        <w:rFonts w:ascii="Arial" w:hAnsi="Arial" w:hint="default"/>
      </w:rPr>
    </w:lvl>
    <w:lvl w:ilvl="3" w:tplc="635A0E80" w:tentative="1">
      <w:start w:val="1"/>
      <w:numFmt w:val="bullet"/>
      <w:lvlText w:val="•"/>
      <w:lvlJc w:val="left"/>
      <w:pPr>
        <w:tabs>
          <w:tab w:val="num" w:pos="2880"/>
        </w:tabs>
        <w:ind w:left="2880" w:hanging="360"/>
      </w:pPr>
      <w:rPr>
        <w:rFonts w:ascii="Arial" w:hAnsi="Arial" w:hint="default"/>
      </w:rPr>
    </w:lvl>
    <w:lvl w:ilvl="4" w:tplc="B08A264E" w:tentative="1">
      <w:start w:val="1"/>
      <w:numFmt w:val="bullet"/>
      <w:lvlText w:val="•"/>
      <w:lvlJc w:val="left"/>
      <w:pPr>
        <w:tabs>
          <w:tab w:val="num" w:pos="3600"/>
        </w:tabs>
        <w:ind w:left="3600" w:hanging="360"/>
      </w:pPr>
      <w:rPr>
        <w:rFonts w:ascii="Arial" w:hAnsi="Arial" w:hint="default"/>
      </w:rPr>
    </w:lvl>
    <w:lvl w:ilvl="5" w:tplc="F72CD828" w:tentative="1">
      <w:start w:val="1"/>
      <w:numFmt w:val="bullet"/>
      <w:lvlText w:val="•"/>
      <w:lvlJc w:val="left"/>
      <w:pPr>
        <w:tabs>
          <w:tab w:val="num" w:pos="4320"/>
        </w:tabs>
        <w:ind w:left="4320" w:hanging="360"/>
      </w:pPr>
      <w:rPr>
        <w:rFonts w:ascii="Arial" w:hAnsi="Arial" w:hint="default"/>
      </w:rPr>
    </w:lvl>
    <w:lvl w:ilvl="6" w:tplc="204090EA" w:tentative="1">
      <w:start w:val="1"/>
      <w:numFmt w:val="bullet"/>
      <w:lvlText w:val="•"/>
      <w:lvlJc w:val="left"/>
      <w:pPr>
        <w:tabs>
          <w:tab w:val="num" w:pos="5040"/>
        </w:tabs>
        <w:ind w:left="5040" w:hanging="360"/>
      </w:pPr>
      <w:rPr>
        <w:rFonts w:ascii="Arial" w:hAnsi="Arial" w:hint="default"/>
      </w:rPr>
    </w:lvl>
    <w:lvl w:ilvl="7" w:tplc="0EAAE7D0" w:tentative="1">
      <w:start w:val="1"/>
      <w:numFmt w:val="bullet"/>
      <w:lvlText w:val="•"/>
      <w:lvlJc w:val="left"/>
      <w:pPr>
        <w:tabs>
          <w:tab w:val="num" w:pos="5760"/>
        </w:tabs>
        <w:ind w:left="5760" w:hanging="360"/>
      </w:pPr>
      <w:rPr>
        <w:rFonts w:ascii="Arial" w:hAnsi="Arial" w:hint="default"/>
      </w:rPr>
    </w:lvl>
    <w:lvl w:ilvl="8" w:tplc="D81AF74E" w:tentative="1">
      <w:start w:val="1"/>
      <w:numFmt w:val="bullet"/>
      <w:lvlText w:val="•"/>
      <w:lvlJc w:val="left"/>
      <w:pPr>
        <w:tabs>
          <w:tab w:val="num" w:pos="6480"/>
        </w:tabs>
        <w:ind w:left="6480" w:hanging="360"/>
      </w:pPr>
      <w:rPr>
        <w:rFonts w:ascii="Arial" w:hAnsi="Arial" w:hint="default"/>
      </w:rPr>
    </w:lvl>
  </w:abstractNum>
  <w:abstractNum w:abstractNumId="14">
    <w:nsid w:val="59987841"/>
    <w:multiLevelType w:val="hybridMultilevel"/>
    <w:tmpl w:val="04766926"/>
    <w:lvl w:ilvl="0" w:tplc="75DC12A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F1F02BF"/>
    <w:multiLevelType w:val="hybridMultilevel"/>
    <w:tmpl w:val="D9D8AD70"/>
    <w:lvl w:ilvl="0" w:tplc="153C1090">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5FBC6C6F"/>
    <w:multiLevelType w:val="hybridMultilevel"/>
    <w:tmpl w:val="6DDACB7E"/>
    <w:lvl w:ilvl="0" w:tplc="040C000D">
      <w:start w:val="1"/>
      <w:numFmt w:val="bullet"/>
      <w:lvlText w:val=""/>
      <w:lvlJc w:val="left"/>
      <w:pPr>
        <w:ind w:left="1140" w:hanging="360"/>
      </w:pPr>
      <w:rPr>
        <w:rFonts w:ascii="Wingdings" w:hAnsi="Wingdings"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17">
    <w:nsid w:val="60C412AD"/>
    <w:multiLevelType w:val="hybridMultilevel"/>
    <w:tmpl w:val="939AFECA"/>
    <w:lvl w:ilvl="0" w:tplc="1E4002FA">
      <w:start w:val="1"/>
      <w:numFmt w:val="lowerLetter"/>
      <w:lvlText w:val="%1-"/>
      <w:lvlJc w:val="left"/>
      <w:pPr>
        <w:ind w:left="1260" w:hanging="360"/>
      </w:pPr>
    </w:lvl>
    <w:lvl w:ilvl="1" w:tplc="040C0019">
      <w:start w:val="1"/>
      <w:numFmt w:val="lowerLetter"/>
      <w:lvlText w:val="%2."/>
      <w:lvlJc w:val="left"/>
      <w:pPr>
        <w:ind w:left="1980" w:hanging="360"/>
      </w:pPr>
    </w:lvl>
    <w:lvl w:ilvl="2" w:tplc="040C001B">
      <w:start w:val="1"/>
      <w:numFmt w:val="lowerRoman"/>
      <w:lvlText w:val="%3."/>
      <w:lvlJc w:val="right"/>
      <w:pPr>
        <w:ind w:left="2700" w:hanging="180"/>
      </w:pPr>
    </w:lvl>
    <w:lvl w:ilvl="3" w:tplc="040C000F">
      <w:start w:val="1"/>
      <w:numFmt w:val="decimal"/>
      <w:lvlText w:val="%4."/>
      <w:lvlJc w:val="left"/>
      <w:pPr>
        <w:ind w:left="3420" w:hanging="360"/>
      </w:pPr>
    </w:lvl>
    <w:lvl w:ilvl="4" w:tplc="040C0019">
      <w:start w:val="1"/>
      <w:numFmt w:val="lowerLetter"/>
      <w:lvlText w:val="%5."/>
      <w:lvlJc w:val="left"/>
      <w:pPr>
        <w:ind w:left="4140" w:hanging="360"/>
      </w:pPr>
    </w:lvl>
    <w:lvl w:ilvl="5" w:tplc="040C001B">
      <w:start w:val="1"/>
      <w:numFmt w:val="lowerRoman"/>
      <w:lvlText w:val="%6."/>
      <w:lvlJc w:val="right"/>
      <w:pPr>
        <w:ind w:left="4860" w:hanging="180"/>
      </w:pPr>
    </w:lvl>
    <w:lvl w:ilvl="6" w:tplc="040C000F">
      <w:start w:val="1"/>
      <w:numFmt w:val="decimal"/>
      <w:lvlText w:val="%7."/>
      <w:lvlJc w:val="left"/>
      <w:pPr>
        <w:ind w:left="5580" w:hanging="360"/>
      </w:pPr>
    </w:lvl>
    <w:lvl w:ilvl="7" w:tplc="040C0019">
      <w:start w:val="1"/>
      <w:numFmt w:val="lowerLetter"/>
      <w:lvlText w:val="%8."/>
      <w:lvlJc w:val="left"/>
      <w:pPr>
        <w:ind w:left="6300" w:hanging="360"/>
      </w:pPr>
    </w:lvl>
    <w:lvl w:ilvl="8" w:tplc="040C001B">
      <w:start w:val="1"/>
      <w:numFmt w:val="lowerRoman"/>
      <w:lvlText w:val="%9."/>
      <w:lvlJc w:val="right"/>
      <w:pPr>
        <w:ind w:left="7020" w:hanging="180"/>
      </w:pPr>
    </w:lvl>
  </w:abstractNum>
  <w:abstractNum w:abstractNumId="18">
    <w:nsid w:val="624D5E7D"/>
    <w:multiLevelType w:val="hybridMultilevel"/>
    <w:tmpl w:val="54FE3054"/>
    <w:lvl w:ilvl="0" w:tplc="6D76C1F4">
      <w:start w:val="1"/>
      <w:numFmt w:val="lowerLetter"/>
      <w:lvlText w:val="%1-"/>
      <w:lvlJc w:val="left"/>
      <w:pPr>
        <w:ind w:left="540" w:hanging="360"/>
      </w:pPr>
      <w:rPr>
        <w:rFonts w:hint="default"/>
      </w:rPr>
    </w:lvl>
    <w:lvl w:ilvl="1" w:tplc="040C0019" w:tentative="1">
      <w:start w:val="1"/>
      <w:numFmt w:val="lowerLetter"/>
      <w:lvlText w:val="%2."/>
      <w:lvlJc w:val="left"/>
      <w:pPr>
        <w:ind w:left="1260" w:hanging="360"/>
      </w:pPr>
    </w:lvl>
    <w:lvl w:ilvl="2" w:tplc="040C001B" w:tentative="1">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19">
    <w:nsid w:val="62ED67F3"/>
    <w:multiLevelType w:val="hybridMultilevel"/>
    <w:tmpl w:val="797E73BA"/>
    <w:lvl w:ilvl="0" w:tplc="9BB4C2DE">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64B53B58"/>
    <w:multiLevelType w:val="hybridMultilevel"/>
    <w:tmpl w:val="AEF8EB9E"/>
    <w:lvl w:ilvl="0" w:tplc="040C000D">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21">
    <w:nsid w:val="65425B0A"/>
    <w:multiLevelType w:val="hybridMultilevel"/>
    <w:tmpl w:val="A9F49CBA"/>
    <w:lvl w:ilvl="0" w:tplc="11DC9CE0">
      <w:start w:val="1"/>
      <w:numFmt w:val="decimal"/>
      <w:lvlText w:val="%1-"/>
      <w:lvlJc w:val="left"/>
      <w:pPr>
        <w:ind w:left="1155" w:hanging="360"/>
      </w:pPr>
      <w:rPr>
        <w:rFonts w:hint="default"/>
        <w:b/>
        <w:sz w:val="26"/>
      </w:r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22">
    <w:nsid w:val="65BE7B3C"/>
    <w:multiLevelType w:val="hybridMultilevel"/>
    <w:tmpl w:val="E09EA2CE"/>
    <w:lvl w:ilvl="0" w:tplc="4412B234">
      <w:start w:val="1"/>
      <w:numFmt w:val="bullet"/>
      <w:lvlText w:val=""/>
      <w:lvlJc w:val="left"/>
      <w:pPr>
        <w:tabs>
          <w:tab w:val="num" w:pos="720"/>
        </w:tabs>
        <w:ind w:left="720" w:hanging="360"/>
      </w:pPr>
      <w:rPr>
        <w:rFonts w:ascii="Wingdings" w:hAnsi="Wingdings" w:hint="default"/>
      </w:rPr>
    </w:lvl>
    <w:lvl w:ilvl="1" w:tplc="1AC0926C">
      <w:start w:val="1"/>
      <w:numFmt w:val="bullet"/>
      <w:lvlText w:val=""/>
      <w:lvlJc w:val="left"/>
      <w:pPr>
        <w:tabs>
          <w:tab w:val="num" w:pos="1440"/>
        </w:tabs>
        <w:ind w:left="1440" w:hanging="360"/>
      </w:pPr>
      <w:rPr>
        <w:rFonts w:ascii="Wingdings" w:hAnsi="Wingdings" w:hint="default"/>
      </w:rPr>
    </w:lvl>
    <w:lvl w:ilvl="2" w:tplc="A3487F00">
      <w:start w:val="1"/>
      <w:numFmt w:val="bullet"/>
      <w:lvlText w:val=""/>
      <w:lvlJc w:val="left"/>
      <w:pPr>
        <w:tabs>
          <w:tab w:val="num" w:pos="2160"/>
        </w:tabs>
        <w:ind w:left="2160" w:hanging="360"/>
      </w:pPr>
      <w:rPr>
        <w:rFonts w:ascii="Wingdings" w:hAnsi="Wingdings" w:hint="default"/>
      </w:rPr>
    </w:lvl>
    <w:lvl w:ilvl="3" w:tplc="9AC61C90">
      <w:start w:val="1"/>
      <w:numFmt w:val="bullet"/>
      <w:lvlText w:val=""/>
      <w:lvlJc w:val="left"/>
      <w:pPr>
        <w:tabs>
          <w:tab w:val="num" w:pos="2880"/>
        </w:tabs>
        <w:ind w:left="2880" w:hanging="360"/>
      </w:pPr>
      <w:rPr>
        <w:rFonts w:ascii="Wingdings" w:hAnsi="Wingdings" w:hint="default"/>
      </w:rPr>
    </w:lvl>
    <w:lvl w:ilvl="4" w:tplc="443E88BE">
      <w:start w:val="1"/>
      <w:numFmt w:val="bullet"/>
      <w:lvlText w:val=""/>
      <w:lvlJc w:val="left"/>
      <w:pPr>
        <w:tabs>
          <w:tab w:val="num" w:pos="3600"/>
        </w:tabs>
        <w:ind w:left="3600" w:hanging="360"/>
      </w:pPr>
      <w:rPr>
        <w:rFonts w:ascii="Wingdings" w:hAnsi="Wingdings" w:hint="default"/>
      </w:rPr>
    </w:lvl>
    <w:lvl w:ilvl="5" w:tplc="58BC7E7A">
      <w:start w:val="1"/>
      <w:numFmt w:val="bullet"/>
      <w:lvlText w:val=""/>
      <w:lvlJc w:val="left"/>
      <w:pPr>
        <w:tabs>
          <w:tab w:val="num" w:pos="4320"/>
        </w:tabs>
        <w:ind w:left="4320" w:hanging="360"/>
      </w:pPr>
      <w:rPr>
        <w:rFonts w:ascii="Wingdings" w:hAnsi="Wingdings" w:hint="default"/>
      </w:rPr>
    </w:lvl>
    <w:lvl w:ilvl="6" w:tplc="9C12D75C">
      <w:start w:val="1"/>
      <w:numFmt w:val="bullet"/>
      <w:lvlText w:val=""/>
      <w:lvlJc w:val="left"/>
      <w:pPr>
        <w:tabs>
          <w:tab w:val="num" w:pos="5040"/>
        </w:tabs>
        <w:ind w:left="5040" w:hanging="360"/>
      </w:pPr>
      <w:rPr>
        <w:rFonts w:ascii="Wingdings" w:hAnsi="Wingdings" w:hint="default"/>
      </w:rPr>
    </w:lvl>
    <w:lvl w:ilvl="7" w:tplc="7450B498">
      <w:start w:val="1"/>
      <w:numFmt w:val="bullet"/>
      <w:lvlText w:val=""/>
      <w:lvlJc w:val="left"/>
      <w:pPr>
        <w:tabs>
          <w:tab w:val="num" w:pos="5760"/>
        </w:tabs>
        <w:ind w:left="5760" w:hanging="360"/>
      </w:pPr>
      <w:rPr>
        <w:rFonts w:ascii="Wingdings" w:hAnsi="Wingdings" w:hint="default"/>
      </w:rPr>
    </w:lvl>
    <w:lvl w:ilvl="8" w:tplc="CC80E250">
      <w:start w:val="1"/>
      <w:numFmt w:val="bullet"/>
      <w:lvlText w:val=""/>
      <w:lvlJc w:val="left"/>
      <w:pPr>
        <w:tabs>
          <w:tab w:val="num" w:pos="6480"/>
        </w:tabs>
        <w:ind w:left="6480" w:hanging="360"/>
      </w:pPr>
      <w:rPr>
        <w:rFonts w:ascii="Wingdings" w:hAnsi="Wingdings" w:hint="default"/>
      </w:rPr>
    </w:lvl>
  </w:abstractNum>
  <w:abstractNum w:abstractNumId="23">
    <w:nsid w:val="66232975"/>
    <w:multiLevelType w:val="hybridMultilevel"/>
    <w:tmpl w:val="950C8164"/>
    <w:lvl w:ilvl="0" w:tplc="040C0001">
      <w:start w:val="1"/>
      <w:numFmt w:val="bullet"/>
      <w:lvlText w:val=""/>
      <w:lvlJc w:val="left"/>
      <w:pPr>
        <w:ind w:left="22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B916F85"/>
    <w:multiLevelType w:val="hybridMultilevel"/>
    <w:tmpl w:val="294EE838"/>
    <w:lvl w:ilvl="0" w:tplc="040C000D">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25">
    <w:nsid w:val="6D1C25B3"/>
    <w:multiLevelType w:val="hybridMultilevel"/>
    <w:tmpl w:val="E6B6584C"/>
    <w:lvl w:ilvl="0" w:tplc="D25A6F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69C0749"/>
    <w:multiLevelType w:val="hybridMultilevel"/>
    <w:tmpl w:val="7C368F66"/>
    <w:lvl w:ilvl="0" w:tplc="A0B2460C">
      <w:start w:val="1"/>
      <w:numFmt w:val="bullet"/>
      <w:lvlText w:val="–"/>
      <w:lvlJc w:val="left"/>
      <w:pPr>
        <w:tabs>
          <w:tab w:val="num" w:pos="720"/>
        </w:tabs>
        <w:ind w:left="720" w:hanging="360"/>
      </w:pPr>
      <w:rPr>
        <w:rFonts w:ascii="Arial" w:hAnsi="Arial" w:hint="default"/>
      </w:rPr>
    </w:lvl>
    <w:lvl w:ilvl="1" w:tplc="C47AF1CC">
      <w:start w:val="1"/>
      <w:numFmt w:val="bullet"/>
      <w:lvlText w:val="–"/>
      <w:lvlJc w:val="left"/>
      <w:pPr>
        <w:tabs>
          <w:tab w:val="num" w:pos="1440"/>
        </w:tabs>
        <w:ind w:left="1440" w:hanging="360"/>
      </w:pPr>
      <w:rPr>
        <w:rFonts w:ascii="Arial" w:hAnsi="Arial" w:hint="default"/>
      </w:rPr>
    </w:lvl>
    <w:lvl w:ilvl="2" w:tplc="BB82F982" w:tentative="1">
      <w:start w:val="1"/>
      <w:numFmt w:val="bullet"/>
      <w:lvlText w:val="–"/>
      <w:lvlJc w:val="left"/>
      <w:pPr>
        <w:tabs>
          <w:tab w:val="num" w:pos="2160"/>
        </w:tabs>
        <w:ind w:left="2160" w:hanging="360"/>
      </w:pPr>
      <w:rPr>
        <w:rFonts w:ascii="Arial" w:hAnsi="Arial" w:hint="default"/>
      </w:rPr>
    </w:lvl>
    <w:lvl w:ilvl="3" w:tplc="A6C44234" w:tentative="1">
      <w:start w:val="1"/>
      <w:numFmt w:val="bullet"/>
      <w:lvlText w:val="–"/>
      <w:lvlJc w:val="left"/>
      <w:pPr>
        <w:tabs>
          <w:tab w:val="num" w:pos="2880"/>
        </w:tabs>
        <w:ind w:left="2880" w:hanging="360"/>
      </w:pPr>
      <w:rPr>
        <w:rFonts w:ascii="Arial" w:hAnsi="Arial" w:hint="default"/>
      </w:rPr>
    </w:lvl>
    <w:lvl w:ilvl="4" w:tplc="20967EC6" w:tentative="1">
      <w:start w:val="1"/>
      <w:numFmt w:val="bullet"/>
      <w:lvlText w:val="–"/>
      <w:lvlJc w:val="left"/>
      <w:pPr>
        <w:tabs>
          <w:tab w:val="num" w:pos="3600"/>
        </w:tabs>
        <w:ind w:left="3600" w:hanging="360"/>
      </w:pPr>
      <w:rPr>
        <w:rFonts w:ascii="Arial" w:hAnsi="Arial" w:hint="default"/>
      </w:rPr>
    </w:lvl>
    <w:lvl w:ilvl="5" w:tplc="04D24264" w:tentative="1">
      <w:start w:val="1"/>
      <w:numFmt w:val="bullet"/>
      <w:lvlText w:val="–"/>
      <w:lvlJc w:val="left"/>
      <w:pPr>
        <w:tabs>
          <w:tab w:val="num" w:pos="4320"/>
        </w:tabs>
        <w:ind w:left="4320" w:hanging="360"/>
      </w:pPr>
      <w:rPr>
        <w:rFonts w:ascii="Arial" w:hAnsi="Arial" w:hint="default"/>
      </w:rPr>
    </w:lvl>
    <w:lvl w:ilvl="6" w:tplc="8278B872" w:tentative="1">
      <w:start w:val="1"/>
      <w:numFmt w:val="bullet"/>
      <w:lvlText w:val="–"/>
      <w:lvlJc w:val="left"/>
      <w:pPr>
        <w:tabs>
          <w:tab w:val="num" w:pos="5040"/>
        </w:tabs>
        <w:ind w:left="5040" w:hanging="360"/>
      </w:pPr>
      <w:rPr>
        <w:rFonts w:ascii="Arial" w:hAnsi="Arial" w:hint="default"/>
      </w:rPr>
    </w:lvl>
    <w:lvl w:ilvl="7" w:tplc="80B4E63A" w:tentative="1">
      <w:start w:val="1"/>
      <w:numFmt w:val="bullet"/>
      <w:lvlText w:val="–"/>
      <w:lvlJc w:val="left"/>
      <w:pPr>
        <w:tabs>
          <w:tab w:val="num" w:pos="5760"/>
        </w:tabs>
        <w:ind w:left="5760" w:hanging="360"/>
      </w:pPr>
      <w:rPr>
        <w:rFonts w:ascii="Arial" w:hAnsi="Arial" w:hint="default"/>
      </w:rPr>
    </w:lvl>
    <w:lvl w:ilvl="8" w:tplc="D1F2CCDC" w:tentative="1">
      <w:start w:val="1"/>
      <w:numFmt w:val="bullet"/>
      <w:lvlText w:val="–"/>
      <w:lvlJc w:val="left"/>
      <w:pPr>
        <w:tabs>
          <w:tab w:val="num" w:pos="6480"/>
        </w:tabs>
        <w:ind w:left="6480" w:hanging="360"/>
      </w:pPr>
      <w:rPr>
        <w:rFonts w:ascii="Arial" w:hAnsi="Arial" w:hint="default"/>
      </w:rPr>
    </w:lvl>
  </w:abstractNum>
  <w:abstractNum w:abstractNumId="27">
    <w:nsid w:val="7C0935B9"/>
    <w:multiLevelType w:val="hybridMultilevel"/>
    <w:tmpl w:val="11BCA146"/>
    <w:lvl w:ilvl="0" w:tplc="040C000B">
      <w:start w:val="1"/>
      <w:numFmt w:val="bullet"/>
      <w:lvlText w:val=""/>
      <w:lvlJc w:val="left"/>
      <w:pPr>
        <w:ind w:left="1710" w:hanging="360"/>
      </w:pPr>
      <w:rPr>
        <w:rFonts w:ascii="Wingdings" w:hAnsi="Wingdings" w:hint="default"/>
      </w:rPr>
    </w:lvl>
    <w:lvl w:ilvl="1" w:tplc="040C0003" w:tentative="1">
      <w:start w:val="1"/>
      <w:numFmt w:val="bullet"/>
      <w:lvlText w:val="o"/>
      <w:lvlJc w:val="left"/>
      <w:pPr>
        <w:ind w:left="2430" w:hanging="360"/>
      </w:pPr>
      <w:rPr>
        <w:rFonts w:ascii="Courier New" w:hAnsi="Courier New" w:cs="Courier New" w:hint="default"/>
      </w:rPr>
    </w:lvl>
    <w:lvl w:ilvl="2" w:tplc="040C0005" w:tentative="1">
      <w:start w:val="1"/>
      <w:numFmt w:val="bullet"/>
      <w:lvlText w:val=""/>
      <w:lvlJc w:val="left"/>
      <w:pPr>
        <w:ind w:left="3150" w:hanging="360"/>
      </w:pPr>
      <w:rPr>
        <w:rFonts w:ascii="Wingdings" w:hAnsi="Wingdings" w:hint="default"/>
      </w:rPr>
    </w:lvl>
    <w:lvl w:ilvl="3" w:tplc="040C0001" w:tentative="1">
      <w:start w:val="1"/>
      <w:numFmt w:val="bullet"/>
      <w:lvlText w:val=""/>
      <w:lvlJc w:val="left"/>
      <w:pPr>
        <w:ind w:left="3870" w:hanging="360"/>
      </w:pPr>
      <w:rPr>
        <w:rFonts w:ascii="Symbol" w:hAnsi="Symbol" w:hint="default"/>
      </w:rPr>
    </w:lvl>
    <w:lvl w:ilvl="4" w:tplc="040C0003" w:tentative="1">
      <w:start w:val="1"/>
      <w:numFmt w:val="bullet"/>
      <w:lvlText w:val="o"/>
      <w:lvlJc w:val="left"/>
      <w:pPr>
        <w:ind w:left="4590" w:hanging="360"/>
      </w:pPr>
      <w:rPr>
        <w:rFonts w:ascii="Courier New" w:hAnsi="Courier New" w:cs="Courier New" w:hint="default"/>
      </w:rPr>
    </w:lvl>
    <w:lvl w:ilvl="5" w:tplc="040C0005" w:tentative="1">
      <w:start w:val="1"/>
      <w:numFmt w:val="bullet"/>
      <w:lvlText w:val=""/>
      <w:lvlJc w:val="left"/>
      <w:pPr>
        <w:ind w:left="5310" w:hanging="360"/>
      </w:pPr>
      <w:rPr>
        <w:rFonts w:ascii="Wingdings" w:hAnsi="Wingdings" w:hint="default"/>
      </w:rPr>
    </w:lvl>
    <w:lvl w:ilvl="6" w:tplc="040C0001" w:tentative="1">
      <w:start w:val="1"/>
      <w:numFmt w:val="bullet"/>
      <w:lvlText w:val=""/>
      <w:lvlJc w:val="left"/>
      <w:pPr>
        <w:ind w:left="6030" w:hanging="360"/>
      </w:pPr>
      <w:rPr>
        <w:rFonts w:ascii="Symbol" w:hAnsi="Symbol" w:hint="default"/>
      </w:rPr>
    </w:lvl>
    <w:lvl w:ilvl="7" w:tplc="040C0003" w:tentative="1">
      <w:start w:val="1"/>
      <w:numFmt w:val="bullet"/>
      <w:lvlText w:val="o"/>
      <w:lvlJc w:val="left"/>
      <w:pPr>
        <w:ind w:left="6750" w:hanging="360"/>
      </w:pPr>
      <w:rPr>
        <w:rFonts w:ascii="Courier New" w:hAnsi="Courier New" w:cs="Courier New" w:hint="default"/>
      </w:rPr>
    </w:lvl>
    <w:lvl w:ilvl="8" w:tplc="040C0005" w:tentative="1">
      <w:start w:val="1"/>
      <w:numFmt w:val="bullet"/>
      <w:lvlText w:val=""/>
      <w:lvlJc w:val="left"/>
      <w:pPr>
        <w:ind w:left="7470" w:hanging="360"/>
      </w:pPr>
      <w:rPr>
        <w:rFonts w:ascii="Wingdings" w:hAnsi="Wingdings" w:hint="default"/>
      </w:rPr>
    </w:lvl>
  </w:abstractNum>
  <w:num w:numId="1">
    <w:abstractNumId w:val="18"/>
  </w:num>
  <w:num w:numId="2">
    <w:abstractNumId w:val="1"/>
  </w:num>
  <w:num w:numId="3">
    <w:abstractNumId w:val="5"/>
  </w:num>
  <w:num w:numId="4">
    <w:abstractNumId w:val="15"/>
  </w:num>
  <w:num w:numId="5">
    <w:abstractNumId w:val="12"/>
  </w:num>
  <w:num w:numId="6">
    <w:abstractNumId w:val="21"/>
  </w:num>
  <w:num w:numId="7">
    <w:abstractNumId w:val="8"/>
  </w:num>
  <w:num w:numId="8">
    <w:abstractNumId w:val="13"/>
  </w:num>
  <w:num w:numId="9">
    <w:abstractNumId w:val="26"/>
  </w:num>
  <w:num w:numId="10">
    <w:abstractNumId w:val="19"/>
  </w:num>
  <w:num w:numId="11">
    <w:abstractNumId w:val="10"/>
  </w:num>
  <w:num w:numId="12">
    <w:abstractNumId w:val="6"/>
  </w:num>
  <w:num w:numId="13">
    <w:abstractNumId w:val="27"/>
  </w:num>
  <w:num w:numId="14">
    <w:abstractNumId w:val="25"/>
  </w:num>
  <w:num w:numId="15">
    <w:abstractNumId w:val="3"/>
  </w:num>
  <w:num w:numId="16">
    <w:abstractNumId w:val="0"/>
  </w:num>
  <w:num w:numId="17">
    <w:abstractNumId w:val="2"/>
  </w:num>
  <w:num w:numId="18">
    <w:abstractNumId w:val="16"/>
  </w:num>
  <w:num w:numId="19">
    <w:abstractNumId w:val="11"/>
  </w:num>
  <w:num w:numId="20">
    <w:abstractNumId w:val="9"/>
  </w:num>
  <w:num w:numId="21">
    <w:abstractNumId w:val="23"/>
  </w:num>
  <w:num w:numId="22">
    <w:abstractNumId w:val="22"/>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24"/>
  </w:num>
  <w:num w:numId="27">
    <w:abstractNumId w:val="20"/>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0DB"/>
    <w:rsid w:val="00063609"/>
    <w:rsid w:val="00074B4C"/>
    <w:rsid w:val="00095F96"/>
    <w:rsid w:val="000D6C29"/>
    <w:rsid w:val="000F7B7B"/>
    <w:rsid w:val="001407E0"/>
    <w:rsid w:val="00143328"/>
    <w:rsid w:val="00166BCF"/>
    <w:rsid w:val="001721ED"/>
    <w:rsid w:val="001B2A6F"/>
    <w:rsid w:val="001C1188"/>
    <w:rsid w:val="001C6705"/>
    <w:rsid w:val="001E1D7E"/>
    <w:rsid w:val="001E38EC"/>
    <w:rsid w:val="00227C24"/>
    <w:rsid w:val="0023141A"/>
    <w:rsid w:val="00274D74"/>
    <w:rsid w:val="00291D9E"/>
    <w:rsid w:val="002E20BE"/>
    <w:rsid w:val="002E2A02"/>
    <w:rsid w:val="002E5A1D"/>
    <w:rsid w:val="00304090"/>
    <w:rsid w:val="003077EE"/>
    <w:rsid w:val="003151B3"/>
    <w:rsid w:val="00336E46"/>
    <w:rsid w:val="003406DB"/>
    <w:rsid w:val="0036472B"/>
    <w:rsid w:val="00381F7F"/>
    <w:rsid w:val="003B557F"/>
    <w:rsid w:val="003D4FB2"/>
    <w:rsid w:val="004338F2"/>
    <w:rsid w:val="00466EE1"/>
    <w:rsid w:val="004950D5"/>
    <w:rsid w:val="004E7140"/>
    <w:rsid w:val="004F2FD6"/>
    <w:rsid w:val="004F7A89"/>
    <w:rsid w:val="005036BB"/>
    <w:rsid w:val="00531208"/>
    <w:rsid w:val="00532EBD"/>
    <w:rsid w:val="00581C31"/>
    <w:rsid w:val="005975EC"/>
    <w:rsid w:val="005D480C"/>
    <w:rsid w:val="005E7517"/>
    <w:rsid w:val="0060136B"/>
    <w:rsid w:val="006573EC"/>
    <w:rsid w:val="006936AD"/>
    <w:rsid w:val="006C3152"/>
    <w:rsid w:val="00713C8C"/>
    <w:rsid w:val="0071463F"/>
    <w:rsid w:val="007167F4"/>
    <w:rsid w:val="00752C3B"/>
    <w:rsid w:val="00757C19"/>
    <w:rsid w:val="007659FC"/>
    <w:rsid w:val="007E165A"/>
    <w:rsid w:val="00813577"/>
    <w:rsid w:val="00832D0E"/>
    <w:rsid w:val="00856E6A"/>
    <w:rsid w:val="0087662F"/>
    <w:rsid w:val="008F7917"/>
    <w:rsid w:val="009231A2"/>
    <w:rsid w:val="00972A7F"/>
    <w:rsid w:val="009B5713"/>
    <w:rsid w:val="009F0763"/>
    <w:rsid w:val="00A02D8A"/>
    <w:rsid w:val="00A10FB9"/>
    <w:rsid w:val="00A1409A"/>
    <w:rsid w:val="00A30899"/>
    <w:rsid w:val="00A900DB"/>
    <w:rsid w:val="00A95F97"/>
    <w:rsid w:val="00AC65C2"/>
    <w:rsid w:val="00AD378A"/>
    <w:rsid w:val="00AF34C7"/>
    <w:rsid w:val="00B232B0"/>
    <w:rsid w:val="00B43E35"/>
    <w:rsid w:val="00B970F8"/>
    <w:rsid w:val="00BC4336"/>
    <w:rsid w:val="00C10701"/>
    <w:rsid w:val="00C23B9A"/>
    <w:rsid w:val="00C510BD"/>
    <w:rsid w:val="00C6363F"/>
    <w:rsid w:val="00C94EF3"/>
    <w:rsid w:val="00CA5B52"/>
    <w:rsid w:val="00CC227D"/>
    <w:rsid w:val="00D271A9"/>
    <w:rsid w:val="00D672ED"/>
    <w:rsid w:val="00D97B37"/>
    <w:rsid w:val="00E139E0"/>
    <w:rsid w:val="00E3445D"/>
    <w:rsid w:val="00E36EA7"/>
    <w:rsid w:val="00E462C3"/>
    <w:rsid w:val="00E60DF7"/>
    <w:rsid w:val="00E7457E"/>
    <w:rsid w:val="00E96C7B"/>
    <w:rsid w:val="00EE5FE0"/>
    <w:rsid w:val="00EF30EE"/>
    <w:rsid w:val="00F14607"/>
    <w:rsid w:val="00F17322"/>
    <w:rsid w:val="00FA57C4"/>
    <w:rsid w:val="00FA7D88"/>
    <w:rsid w:val="00FC206E"/>
    <w:rsid w:val="00FE1A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6573EC"/>
    <w:pPr>
      <w:keepNext/>
      <w:keepLines/>
      <w:spacing w:before="200" w:after="0"/>
      <w:outlineLvl w:val="1"/>
    </w:pPr>
    <w:rPr>
      <w:rFonts w:asciiTheme="majorHAnsi" w:eastAsiaTheme="majorEastAsia" w:hAnsiTheme="majorHAnsi" w:cstheme="majorBidi"/>
      <w:b/>
      <w:bCs/>
      <w:color w:val="4F81BD" w:themeColor="accent1"/>
      <w:sz w:val="26"/>
      <w:szCs w:val="26"/>
      <w:lang w:eastAsia="fr-FR"/>
    </w:rPr>
  </w:style>
  <w:style w:type="paragraph" w:styleId="Titre4">
    <w:name w:val="heading 4"/>
    <w:basedOn w:val="Normal"/>
    <w:link w:val="Titre4Car"/>
    <w:uiPriority w:val="9"/>
    <w:qFormat/>
    <w:rsid w:val="00D97B37"/>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900DB"/>
    <w:pPr>
      <w:tabs>
        <w:tab w:val="center" w:pos="4536"/>
        <w:tab w:val="right" w:pos="9072"/>
      </w:tabs>
      <w:spacing w:after="0" w:line="240" w:lineRule="auto"/>
    </w:pPr>
  </w:style>
  <w:style w:type="character" w:customStyle="1" w:styleId="En-tteCar">
    <w:name w:val="En-tête Car"/>
    <w:basedOn w:val="Policepardfaut"/>
    <w:link w:val="En-tte"/>
    <w:uiPriority w:val="99"/>
    <w:rsid w:val="00A900DB"/>
  </w:style>
  <w:style w:type="paragraph" w:styleId="Pieddepage">
    <w:name w:val="footer"/>
    <w:basedOn w:val="Normal"/>
    <w:link w:val="PieddepageCar"/>
    <w:uiPriority w:val="99"/>
    <w:unhideWhenUsed/>
    <w:rsid w:val="00A900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00DB"/>
  </w:style>
  <w:style w:type="paragraph" w:styleId="Textedebulles">
    <w:name w:val="Balloon Text"/>
    <w:basedOn w:val="Normal"/>
    <w:link w:val="TextedebullesCar"/>
    <w:uiPriority w:val="99"/>
    <w:semiHidden/>
    <w:unhideWhenUsed/>
    <w:rsid w:val="00A900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00DB"/>
    <w:rPr>
      <w:rFonts w:ascii="Tahoma" w:hAnsi="Tahoma" w:cs="Tahoma"/>
      <w:sz w:val="16"/>
      <w:szCs w:val="16"/>
    </w:rPr>
  </w:style>
  <w:style w:type="paragraph" w:styleId="NormalWeb">
    <w:name w:val="Normal (Web)"/>
    <w:basedOn w:val="Normal"/>
    <w:uiPriority w:val="99"/>
    <w:semiHidden/>
    <w:unhideWhenUsed/>
    <w:rsid w:val="00336E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E7140"/>
    <w:pPr>
      <w:ind w:left="720"/>
      <w:contextualSpacing/>
    </w:pPr>
  </w:style>
  <w:style w:type="character" w:styleId="Lienhypertexte">
    <w:name w:val="Hyperlink"/>
    <w:basedOn w:val="Policepardfaut"/>
    <w:uiPriority w:val="99"/>
    <w:semiHidden/>
    <w:unhideWhenUsed/>
    <w:rsid w:val="007167F4"/>
    <w:rPr>
      <w:color w:val="0000FF"/>
      <w:u w:val="single"/>
    </w:rPr>
  </w:style>
  <w:style w:type="character" w:styleId="Accentuation">
    <w:name w:val="Emphasis"/>
    <w:basedOn w:val="Policepardfaut"/>
    <w:uiPriority w:val="20"/>
    <w:qFormat/>
    <w:rsid w:val="00274D74"/>
    <w:rPr>
      <w:i/>
      <w:iCs/>
    </w:rPr>
  </w:style>
  <w:style w:type="character" w:styleId="lev">
    <w:name w:val="Strong"/>
    <w:basedOn w:val="Policepardfaut"/>
    <w:uiPriority w:val="22"/>
    <w:qFormat/>
    <w:rsid w:val="00274D74"/>
    <w:rPr>
      <w:b/>
      <w:bCs/>
    </w:rPr>
  </w:style>
  <w:style w:type="character" w:customStyle="1" w:styleId="Titre4Car">
    <w:name w:val="Titre 4 Car"/>
    <w:basedOn w:val="Policepardfaut"/>
    <w:link w:val="Titre4"/>
    <w:uiPriority w:val="9"/>
    <w:rsid w:val="00D97B37"/>
    <w:rPr>
      <w:rFonts w:ascii="Times New Roman" w:eastAsia="Times New Roman" w:hAnsi="Times New Roman" w:cs="Times New Roman"/>
      <w:b/>
      <w:bCs/>
      <w:sz w:val="24"/>
      <w:szCs w:val="24"/>
      <w:lang w:eastAsia="fr-FR"/>
    </w:rPr>
  </w:style>
  <w:style w:type="character" w:customStyle="1" w:styleId="Titre2Car">
    <w:name w:val="Titre 2 Car"/>
    <w:basedOn w:val="Policepardfaut"/>
    <w:link w:val="Titre2"/>
    <w:uiPriority w:val="9"/>
    <w:rsid w:val="006573EC"/>
    <w:rPr>
      <w:rFonts w:asciiTheme="majorHAnsi" w:eastAsiaTheme="majorEastAsia" w:hAnsiTheme="majorHAnsi" w:cstheme="majorBidi"/>
      <w:b/>
      <w:bCs/>
      <w:color w:val="4F81BD" w:themeColor="accent1"/>
      <w:sz w:val="26"/>
      <w:szCs w:val="26"/>
      <w:lang w:eastAsia="fr-FR"/>
    </w:rPr>
  </w:style>
  <w:style w:type="character" w:customStyle="1" w:styleId="link-wrapper">
    <w:name w:val="link-wrapper"/>
    <w:basedOn w:val="Policepardfaut"/>
    <w:rsid w:val="006573EC"/>
  </w:style>
  <w:style w:type="paragraph" w:customStyle="1" w:styleId="zeta">
    <w:name w:val="zeta"/>
    <w:basedOn w:val="Normal"/>
    <w:rsid w:val="006573E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unhideWhenUsed/>
    <w:qFormat/>
    <w:rsid w:val="006573EC"/>
    <w:pPr>
      <w:keepNext/>
      <w:keepLines/>
      <w:spacing w:before="200" w:after="0"/>
      <w:outlineLvl w:val="1"/>
    </w:pPr>
    <w:rPr>
      <w:rFonts w:asciiTheme="majorHAnsi" w:eastAsiaTheme="majorEastAsia" w:hAnsiTheme="majorHAnsi" w:cstheme="majorBidi"/>
      <w:b/>
      <w:bCs/>
      <w:color w:val="4F81BD" w:themeColor="accent1"/>
      <w:sz w:val="26"/>
      <w:szCs w:val="26"/>
      <w:lang w:eastAsia="fr-FR"/>
    </w:rPr>
  </w:style>
  <w:style w:type="paragraph" w:styleId="Titre4">
    <w:name w:val="heading 4"/>
    <w:basedOn w:val="Normal"/>
    <w:link w:val="Titre4Car"/>
    <w:uiPriority w:val="9"/>
    <w:qFormat/>
    <w:rsid w:val="00D97B37"/>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900DB"/>
    <w:pPr>
      <w:tabs>
        <w:tab w:val="center" w:pos="4536"/>
        <w:tab w:val="right" w:pos="9072"/>
      </w:tabs>
      <w:spacing w:after="0" w:line="240" w:lineRule="auto"/>
    </w:pPr>
  </w:style>
  <w:style w:type="character" w:customStyle="1" w:styleId="En-tteCar">
    <w:name w:val="En-tête Car"/>
    <w:basedOn w:val="Policepardfaut"/>
    <w:link w:val="En-tte"/>
    <w:uiPriority w:val="99"/>
    <w:rsid w:val="00A900DB"/>
  </w:style>
  <w:style w:type="paragraph" w:styleId="Pieddepage">
    <w:name w:val="footer"/>
    <w:basedOn w:val="Normal"/>
    <w:link w:val="PieddepageCar"/>
    <w:uiPriority w:val="99"/>
    <w:unhideWhenUsed/>
    <w:rsid w:val="00A900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00DB"/>
  </w:style>
  <w:style w:type="paragraph" w:styleId="Textedebulles">
    <w:name w:val="Balloon Text"/>
    <w:basedOn w:val="Normal"/>
    <w:link w:val="TextedebullesCar"/>
    <w:uiPriority w:val="99"/>
    <w:semiHidden/>
    <w:unhideWhenUsed/>
    <w:rsid w:val="00A900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00DB"/>
    <w:rPr>
      <w:rFonts w:ascii="Tahoma" w:hAnsi="Tahoma" w:cs="Tahoma"/>
      <w:sz w:val="16"/>
      <w:szCs w:val="16"/>
    </w:rPr>
  </w:style>
  <w:style w:type="paragraph" w:styleId="NormalWeb">
    <w:name w:val="Normal (Web)"/>
    <w:basedOn w:val="Normal"/>
    <w:uiPriority w:val="99"/>
    <w:semiHidden/>
    <w:unhideWhenUsed/>
    <w:rsid w:val="00336E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E7140"/>
    <w:pPr>
      <w:ind w:left="720"/>
      <w:contextualSpacing/>
    </w:pPr>
  </w:style>
  <w:style w:type="character" w:styleId="Lienhypertexte">
    <w:name w:val="Hyperlink"/>
    <w:basedOn w:val="Policepardfaut"/>
    <w:uiPriority w:val="99"/>
    <w:semiHidden/>
    <w:unhideWhenUsed/>
    <w:rsid w:val="007167F4"/>
    <w:rPr>
      <w:color w:val="0000FF"/>
      <w:u w:val="single"/>
    </w:rPr>
  </w:style>
  <w:style w:type="character" w:styleId="Accentuation">
    <w:name w:val="Emphasis"/>
    <w:basedOn w:val="Policepardfaut"/>
    <w:uiPriority w:val="20"/>
    <w:qFormat/>
    <w:rsid w:val="00274D74"/>
    <w:rPr>
      <w:i/>
      <w:iCs/>
    </w:rPr>
  </w:style>
  <w:style w:type="character" w:styleId="lev">
    <w:name w:val="Strong"/>
    <w:basedOn w:val="Policepardfaut"/>
    <w:uiPriority w:val="22"/>
    <w:qFormat/>
    <w:rsid w:val="00274D74"/>
    <w:rPr>
      <w:b/>
      <w:bCs/>
    </w:rPr>
  </w:style>
  <w:style w:type="character" w:customStyle="1" w:styleId="Titre4Car">
    <w:name w:val="Titre 4 Car"/>
    <w:basedOn w:val="Policepardfaut"/>
    <w:link w:val="Titre4"/>
    <w:uiPriority w:val="9"/>
    <w:rsid w:val="00D97B37"/>
    <w:rPr>
      <w:rFonts w:ascii="Times New Roman" w:eastAsia="Times New Roman" w:hAnsi="Times New Roman" w:cs="Times New Roman"/>
      <w:b/>
      <w:bCs/>
      <w:sz w:val="24"/>
      <w:szCs w:val="24"/>
      <w:lang w:eastAsia="fr-FR"/>
    </w:rPr>
  </w:style>
  <w:style w:type="character" w:customStyle="1" w:styleId="Titre2Car">
    <w:name w:val="Titre 2 Car"/>
    <w:basedOn w:val="Policepardfaut"/>
    <w:link w:val="Titre2"/>
    <w:uiPriority w:val="9"/>
    <w:rsid w:val="006573EC"/>
    <w:rPr>
      <w:rFonts w:asciiTheme="majorHAnsi" w:eastAsiaTheme="majorEastAsia" w:hAnsiTheme="majorHAnsi" w:cstheme="majorBidi"/>
      <w:b/>
      <w:bCs/>
      <w:color w:val="4F81BD" w:themeColor="accent1"/>
      <w:sz w:val="26"/>
      <w:szCs w:val="26"/>
      <w:lang w:eastAsia="fr-FR"/>
    </w:rPr>
  </w:style>
  <w:style w:type="character" w:customStyle="1" w:styleId="link-wrapper">
    <w:name w:val="link-wrapper"/>
    <w:basedOn w:val="Policepardfaut"/>
    <w:rsid w:val="006573EC"/>
  </w:style>
  <w:style w:type="paragraph" w:customStyle="1" w:styleId="zeta">
    <w:name w:val="zeta"/>
    <w:basedOn w:val="Normal"/>
    <w:rsid w:val="006573E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70939">
      <w:bodyDiv w:val="1"/>
      <w:marLeft w:val="0"/>
      <w:marRight w:val="0"/>
      <w:marTop w:val="0"/>
      <w:marBottom w:val="0"/>
      <w:divBdr>
        <w:top w:val="none" w:sz="0" w:space="0" w:color="auto"/>
        <w:left w:val="none" w:sz="0" w:space="0" w:color="auto"/>
        <w:bottom w:val="none" w:sz="0" w:space="0" w:color="auto"/>
        <w:right w:val="none" w:sz="0" w:space="0" w:color="auto"/>
      </w:divBdr>
    </w:div>
    <w:div w:id="368845927">
      <w:bodyDiv w:val="1"/>
      <w:marLeft w:val="0"/>
      <w:marRight w:val="0"/>
      <w:marTop w:val="0"/>
      <w:marBottom w:val="0"/>
      <w:divBdr>
        <w:top w:val="none" w:sz="0" w:space="0" w:color="auto"/>
        <w:left w:val="none" w:sz="0" w:space="0" w:color="auto"/>
        <w:bottom w:val="none" w:sz="0" w:space="0" w:color="auto"/>
        <w:right w:val="none" w:sz="0" w:space="0" w:color="auto"/>
      </w:divBdr>
    </w:div>
    <w:div w:id="383483866">
      <w:bodyDiv w:val="1"/>
      <w:marLeft w:val="0"/>
      <w:marRight w:val="0"/>
      <w:marTop w:val="0"/>
      <w:marBottom w:val="0"/>
      <w:divBdr>
        <w:top w:val="none" w:sz="0" w:space="0" w:color="auto"/>
        <w:left w:val="none" w:sz="0" w:space="0" w:color="auto"/>
        <w:bottom w:val="none" w:sz="0" w:space="0" w:color="auto"/>
        <w:right w:val="none" w:sz="0" w:space="0" w:color="auto"/>
      </w:divBdr>
    </w:div>
    <w:div w:id="450831489">
      <w:bodyDiv w:val="1"/>
      <w:marLeft w:val="0"/>
      <w:marRight w:val="0"/>
      <w:marTop w:val="0"/>
      <w:marBottom w:val="0"/>
      <w:divBdr>
        <w:top w:val="none" w:sz="0" w:space="0" w:color="auto"/>
        <w:left w:val="none" w:sz="0" w:space="0" w:color="auto"/>
        <w:bottom w:val="none" w:sz="0" w:space="0" w:color="auto"/>
        <w:right w:val="none" w:sz="0" w:space="0" w:color="auto"/>
      </w:divBdr>
    </w:div>
    <w:div w:id="501165340">
      <w:bodyDiv w:val="1"/>
      <w:marLeft w:val="0"/>
      <w:marRight w:val="0"/>
      <w:marTop w:val="0"/>
      <w:marBottom w:val="0"/>
      <w:divBdr>
        <w:top w:val="none" w:sz="0" w:space="0" w:color="auto"/>
        <w:left w:val="none" w:sz="0" w:space="0" w:color="auto"/>
        <w:bottom w:val="none" w:sz="0" w:space="0" w:color="auto"/>
        <w:right w:val="none" w:sz="0" w:space="0" w:color="auto"/>
      </w:divBdr>
    </w:div>
    <w:div w:id="572392159">
      <w:bodyDiv w:val="1"/>
      <w:marLeft w:val="0"/>
      <w:marRight w:val="0"/>
      <w:marTop w:val="0"/>
      <w:marBottom w:val="0"/>
      <w:divBdr>
        <w:top w:val="none" w:sz="0" w:space="0" w:color="auto"/>
        <w:left w:val="none" w:sz="0" w:space="0" w:color="auto"/>
        <w:bottom w:val="none" w:sz="0" w:space="0" w:color="auto"/>
        <w:right w:val="none" w:sz="0" w:space="0" w:color="auto"/>
      </w:divBdr>
    </w:div>
    <w:div w:id="697318267">
      <w:bodyDiv w:val="1"/>
      <w:marLeft w:val="0"/>
      <w:marRight w:val="0"/>
      <w:marTop w:val="0"/>
      <w:marBottom w:val="0"/>
      <w:divBdr>
        <w:top w:val="none" w:sz="0" w:space="0" w:color="auto"/>
        <w:left w:val="none" w:sz="0" w:space="0" w:color="auto"/>
        <w:bottom w:val="none" w:sz="0" w:space="0" w:color="auto"/>
        <w:right w:val="none" w:sz="0" w:space="0" w:color="auto"/>
      </w:divBdr>
      <w:divsChild>
        <w:div w:id="21588568">
          <w:marLeft w:val="1166"/>
          <w:marRight w:val="0"/>
          <w:marTop w:val="134"/>
          <w:marBottom w:val="0"/>
          <w:divBdr>
            <w:top w:val="none" w:sz="0" w:space="0" w:color="auto"/>
            <w:left w:val="none" w:sz="0" w:space="0" w:color="auto"/>
            <w:bottom w:val="none" w:sz="0" w:space="0" w:color="auto"/>
            <w:right w:val="none" w:sz="0" w:space="0" w:color="auto"/>
          </w:divBdr>
        </w:div>
        <w:div w:id="1106804057">
          <w:marLeft w:val="1166"/>
          <w:marRight w:val="0"/>
          <w:marTop w:val="134"/>
          <w:marBottom w:val="0"/>
          <w:divBdr>
            <w:top w:val="none" w:sz="0" w:space="0" w:color="auto"/>
            <w:left w:val="none" w:sz="0" w:space="0" w:color="auto"/>
            <w:bottom w:val="none" w:sz="0" w:space="0" w:color="auto"/>
            <w:right w:val="none" w:sz="0" w:space="0" w:color="auto"/>
          </w:divBdr>
        </w:div>
        <w:div w:id="1799643625">
          <w:marLeft w:val="1166"/>
          <w:marRight w:val="0"/>
          <w:marTop w:val="134"/>
          <w:marBottom w:val="0"/>
          <w:divBdr>
            <w:top w:val="none" w:sz="0" w:space="0" w:color="auto"/>
            <w:left w:val="none" w:sz="0" w:space="0" w:color="auto"/>
            <w:bottom w:val="none" w:sz="0" w:space="0" w:color="auto"/>
            <w:right w:val="none" w:sz="0" w:space="0" w:color="auto"/>
          </w:divBdr>
        </w:div>
        <w:div w:id="2017346062">
          <w:marLeft w:val="1166"/>
          <w:marRight w:val="0"/>
          <w:marTop w:val="134"/>
          <w:marBottom w:val="0"/>
          <w:divBdr>
            <w:top w:val="none" w:sz="0" w:space="0" w:color="auto"/>
            <w:left w:val="none" w:sz="0" w:space="0" w:color="auto"/>
            <w:bottom w:val="none" w:sz="0" w:space="0" w:color="auto"/>
            <w:right w:val="none" w:sz="0" w:space="0" w:color="auto"/>
          </w:divBdr>
        </w:div>
      </w:divsChild>
    </w:div>
    <w:div w:id="778523715">
      <w:bodyDiv w:val="1"/>
      <w:marLeft w:val="0"/>
      <w:marRight w:val="0"/>
      <w:marTop w:val="0"/>
      <w:marBottom w:val="0"/>
      <w:divBdr>
        <w:top w:val="none" w:sz="0" w:space="0" w:color="auto"/>
        <w:left w:val="none" w:sz="0" w:space="0" w:color="auto"/>
        <w:bottom w:val="none" w:sz="0" w:space="0" w:color="auto"/>
        <w:right w:val="none" w:sz="0" w:space="0" w:color="auto"/>
      </w:divBdr>
    </w:div>
    <w:div w:id="1153566125">
      <w:bodyDiv w:val="1"/>
      <w:marLeft w:val="0"/>
      <w:marRight w:val="0"/>
      <w:marTop w:val="0"/>
      <w:marBottom w:val="0"/>
      <w:divBdr>
        <w:top w:val="none" w:sz="0" w:space="0" w:color="auto"/>
        <w:left w:val="none" w:sz="0" w:space="0" w:color="auto"/>
        <w:bottom w:val="none" w:sz="0" w:space="0" w:color="auto"/>
        <w:right w:val="none" w:sz="0" w:space="0" w:color="auto"/>
      </w:divBdr>
    </w:div>
    <w:div w:id="1304191787">
      <w:bodyDiv w:val="1"/>
      <w:marLeft w:val="0"/>
      <w:marRight w:val="0"/>
      <w:marTop w:val="0"/>
      <w:marBottom w:val="0"/>
      <w:divBdr>
        <w:top w:val="none" w:sz="0" w:space="0" w:color="auto"/>
        <w:left w:val="none" w:sz="0" w:space="0" w:color="auto"/>
        <w:bottom w:val="none" w:sz="0" w:space="0" w:color="auto"/>
        <w:right w:val="none" w:sz="0" w:space="0" w:color="auto"/>
      </w:divBdr>
    </w:div>
    <w:div w:id="1333876159">
      <w:bodyDiv w:val="1"/>
      <w:marLeft w:val="0"/>
      <w:marRight w:val="0"/>
      <w:marTop w:val="0"/>
      <w:marBottom w:val="0"/>
      <w:divBdr>
        <w:top w:val="none" w:sz="0" w:space="0" w:color="auto"/>
        <w:left w:val="none" w:sz="0" w:space="0" w:color="auto"/>
        <w:bottom w:val="none" w:sz="0" w:space="0" w:color="auto"/>
        <w:right w:val="none" w:sz="0" w:space="0" w:color="auto"/>
      </w:divBdr>
    </w:div>
    <w:div w:id="1361199175">
      <w:bodyDiv w:val="1"/>
      <w:marLeft w:val="0"/>
      <w:marRight w:val="0"/>
      <w:marTop w:val="0"/>
      <w:marBottom w:val="0"/>
      <w:divBdr>
        <w:top w:val="none" w:sz="0" w:space="0" w:color="auto"/>
        <w:left w:val="none" w:sz="0" w:space="0" w:color="auto"/>
        <w:bottom w:val="none" w:sz="0" w:space="0" w:color="auto"/>
        <w:right w:val="none" w:sz="0" w:space="0" w:color="auto"/>
      </w:divBdr>
    </w:div>
    <w:div w:id="1445929103">
      <w:bodyDiv w:val="1"/>
      <w:marLeft w:val="0"/>
      <w:marRight w:val="0"/>
      <w:marTop w:val="0"/>
      <w:marBottom w:val="0"/>
      <w:divBdr>
        <w:top w:val="none" w:sz="0" w:space="0" w:color="auto"/>
        <w:left w:val="none" w:sz="0" w:space="0" w:color="auto"/>
        <w:bottom w:val="none" w:sz="0" w:space="0" w:color="auto"/>
        <w:right w:val="none" w:sz="0" w:space="0" w:color="auto"/>
      </w:divBdr>
    </w:div>
    <w:div w:id="1493717722">
      <w:bodyDiv w:val="1"/>
      <w:marLeft w:val="0"/>
      <w:marRight w:val="0"/>
      <w:marTop w:val="0"/>
      <w:marBottom w:val="0"/>
      <w:divBdr>
        <w:top w:val="none" w:sz="0" w:space="0" w:color="auto"/>
        <w:left w:val="none" w:sz="0" w:space="0" w:color="auto"/>
        <w:bottom w:val="none" w:sz="0" w:space="0" w:color="auto"/>
        <w:right w:val="none" w:sz="0" w:space="0" w:color="auto"/>
      </w:divBdr>
    </w:div>
    <w:div w:id="1505508305">
      <w:bodyDiv w:val="1"/>
      <w:marLeft w:val="0"/>
      <w:marRight w:val="0"/>
      <w:marTop w:val="0"/>
      <w:marBottom w:val="0"/>
      <w:divBdr>
        <w:top w:val="none" w:sz="0" w:space="0" w:color="auto"/>
        <w:left w:val="none" w:sz="0" w:space="0" w:color="auto"/>
        <w:bottom w:val="none" w:sz="0" w:space="0" w:color="auto"/>
        <w:right w:val="none" w:sz="0" w:space="0" w:color="auto"/>
      </w:divBdr>
      <w:divsChild>
        <w:div w:id="1365059995">
          <w:marLeft w:val="547"/>
          <w:marRight w:val="0"/>
          <w:marTop w:val="134"/>
          <w:marBottom w:val="0"/>
          <w:divBdr>
            <w:top w:val="none" w:sz="0" w:space="0" w:color="auto"/>
            <w:left w:val="none" w:sz="0" w:space="0" w:color="auto"/>
            <w:bottom w:val="none" w:sz="0" w:space="0" w:color="auto"/>
            <w:right w:val="none" w:sz="0" w:space="0" w:color="auto"/>
          </w:divBdr>
        </w:div>
        <w:div w:id="1833137826">
          <w:marLeft w:val="547"/>
          <w:marRight w:val="0"/>
          <w:marTop w:val="134"/>
          <w:marBottom w:val="0"/>
          <w:divBdr>
            <w:top w:val="none" w:sz="0" w:space="0" w:color="auto"/>
            <w:left w:val="none" w:sz="0" w:space="0" w:color="auto"/>
            <w:bottom w:val="none" w:sz="0" w:space="0" w:color="auto"/>
            <w:right w:val="none" w:sz="0" w:space="0" w:color="auto"/>
          </w:divBdr>
        </w:div>
      </w:divsChild>
    </w:div>
    <w:div w:id="1585676153">
      <w:bodyDiv w:val="1"/>
      <w:marLeft w:val="0"/>
      <w:marRight w:val="0"/>
      <w:marTop w:val="0"/>
      <w:marBottom w:val="0"/>
      <w:divBdr>
        <w:top w:val="none" w:sz="0" w:space="0" w:color="auto"/>
        <w:left w:val="none" w:sz="0" w:space="0" w:color="auto"/>
        <w:bottom w:val="none" w:sz="0" w:space="0" w:color="auto"/>
        <w:right w:val="none" w:sz="0" w:space="0" w:color="auto"/>
      </w:divBdr>
    </w:div>
    <w:div w:id="1620408106">
      <w:bodyDiv w:val="1"/>
      <w:marLeft w:val="0"/>
      <w:marRight w:val="0"/>
      <w:marTop w:val="0"/>
      <w:marBottom w:val="0"/>
      <w:divBdr>
        <w:top w:val="none" w:sz="0" w:space="0" w:color="auto"/>
        <w:left w:val="none" w:sz="0" w:space="0" w:color="auto"/>
        <w:bottom w:val="none" w:sz="0" w:space="0" w:color="auto"/>
        <w:right w:val="none" w:sz="0" w:space="0" w:color="auto"/>
      </w:divBdr>
    </w:div>
    <w:div w:id="1641180710">
      <w:bodyDiv w:val="1"/>
      <w:marLeft w:val="0"/>
      <w:marRight w:val="0"/>
      <w:marTop w:val="0"/>
      <w:marBottom w:val="0"/>
      <w:divBdr>
        <w:top w:val="none" w:sz="0" w:space="0" w:color="auto"/>
        <w:left w:val="none" w:sz="0" w:space="0" w:color="auto"/>
        <w:bottom w:val="none" w:sz="0" w:space="0" w:color="auto"/>
        <w:right w:val="none" w:sz="0" w:space="0" w:color="auto"/>
      </w:divBdr>
    </w:div>
    <w:div w:id="1644848275">
      <w:bodyDiv w:val="1"/>
      <w:marLeft w:val="0"/>
      <w:marRight w:val="0"/>
      <w:marTop w:val="0"/>
      <w:marBottom w:val="0"/>
      <w:divBdr>
        <w:top w:val="none" w:sz="0" w:space="0" w:color="auto"/>
        <w:left w:val="none" w:sz="0" w:space="0" w:color="auto"/>
        <w:bottom w:val="none" w:sz="0" w:space="0" w:color="auto"/>
        <w:right w:val="none" w:sz="0" w:space="0" w:color="auto"/>
      </w:divBdr>
    </w:div>
    <w:div w:id="1695184472">
      <w:bodyDiv w:val="1"/>
      <w:marLeft w:val="0"/>
      <w:marRight w:val="0"/>
      <w:marTop w:val="0"/>
      <w:marBottom w:val="0"/>
      <w:divBdr>
        <w:top w:val="none" w:sz="0" w:space="0" w:color="auto"/>
        <w:left w:val="none" w:sz="0" w:space="0" w:color="auto"/>
        <w:bottom w:val="none" w:sz="0" w:space="0" w:color="auto"/>
        <w:right w:val="none" w:sz="0" w:space="0" w:color="auto"/>
      </w:divBdr>
    </w:div>
    <w:div w:id="1735857610">
      <w:bodyDiv w:val="1"/>
      <w:marLeft w:val="0"/>
      <w:marRight w:val="0"/>
      <w:marTop w:val="0"/>
      <w:marBottom w:val="0"/>
      <w:divBdr>
        <w:top w:val="none" w:sz="0" w:space="0" w:color="auto"/>
        <w:left w:val="none" w:sz="0" w:space="0" w:color="auto"/>
        <w:bottom w:val="none" w:sz="0" w:space="0" w:color="auto"/>
        <w:right w:val="none" w:sz="0" w:space="0" w:color="auto"/>
      </w:divBdr>
    </w:div>
    <w:div w:id="1752577780">
      <w:bodyDiv w:val="1"/>
      <w:marLeft w:val="0"/>
      <w:marRight w:val="0"/>
      <w:marTop w:val="0"/>
      <w:marBottom w:val="0"/>
      <w:divBdr>
        <w:top w:val="none" w:sz="0" w:space="0" w:color="auto"/>
        <w:left w:val="none" w:sz="0" w:space="0" w:color="auto"/>
        <w:bottom w:val="none" w:sz="0" w:space="0" w:color="auto"/>
        <w:right w:val="none" w:sz="0" w:space="0" w:color="auto"/>
      </w:divBdr>
    </w:div>
    <w:div w:id="1776293695">
      <w:bodyDiv w:val="1"/>
      <w:marLeft w:val="0"/>
      <w:marRight w:val="0"/>
      <w:marTop w:val="0"/>
      <w:marBottom w:val="0"/>
      <w:divBdr>
        <w:top w:val="none" w:sz="0" w:space="0" w:color="auto"/>
        <w:left w:val="none" w:sz="0" w:space="0" w:color="auto"/>
        <w:bottom w:val="none" w:sz="0" w:space="0" w:color="auto"/>
        <w:right w:val="none" w:sz="0" w:space="0" w:color="auto"/>
      </w:divBdr>
    </w:div>
    <w:div w:id="1818112830">
      <w:bodyDiv w:val="1"/>
      <w:marLeft w:val="0"/>
      <w:marRight w:val="0"/>
      <w:marTop w:val="0"/>
      <w:marBottom w:val="0"/>
      <w:divBdr>
        <w:top w:val="none" w:sz="0" w:space="0" w:color="auto"/>
        <w:left w:val="none" w:sz="0" w:space="0" w:color="auto"/>
        <w:bottom w:val="none" w:sz="0" w:space="0" w:color="auto"/>
        <w:right w:val="none" w:sz="0" w:space="0" w:color="auto"/>
      </w:divBdr>
    </w:div>
    <w:div w:id="1874725389">
      <w:bodyDiv w:val="1"/>
      <w:marLeft w:val="0"/>
      <w:marRight w:val="0"/>
      <w:marTop w:val="0"/>
      <w:marBottom w:val="0"/>
      <w:divBdr>
        <w:top w:val="none" w:sz="0" w:space="0" w:color="auto"/>
        <w:left w:val="none" w:sz="0" w:space="0" w:color="auto"/>
        <w:bottom w:val="none" w:sz="0" w:space="0" w:color="auto"/>
        <w:right w:val="none" w:sz="0" w:space="0" w:color="auto"/>
      </w:divBdr>
    </w:div>
    <w:div w:id="194468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www.futura-sciences.com/sante/actualites/medecine-globules-blancs-veritables-chaperons-globules-rouges-4529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utura-sciences.com/sante/definitions/medecine-hemophilie-12477/"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s://www.futura-sciences.com/sante/definitions/medecine-hemoglobine-75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utura-sciences.com/sante/definitions/medecine-cancer-108/" TargetMode="External"/><Relationship Id="rId20" Type="http://schemas.openxmlformats.org/officeDocument/2006/relationships/hyperlink" Target="https://www.futura-sciences.com/sciences/definitions/chimie-molecule-78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futura-sciences.com/sante/questions-reponses/cancer-leucemie-infantile-detail-1456/" TargetMode="External"/><Relationship Id="rId23" Type="http://schemas.openxmlformats.org/officeDocument/2006/relationships/hyperlink" Target="https://www.futura-sciences.com/sante/dossiers/medecine-diabete-859/" TargetMode="External"/><Relationship Id="rId10" Type="http://schemas.openxmlformats.org/officeDocument/2006/relationships/hyperlink" Target="https://dondesang.efs.sante.fr/glossaire/" TargetMode="External"/><Relationship Id="rId19" Type="http://schemas.openxmlformats.org/officeDocument/2006/relationships/hyperlink" Target="https://www.futura-sciences.com/sante/actualites/medecine-etonnant-poumons-produisent-cellules-sanguines-66795/"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futura-sciences.com/sante/questions-reponses/corps-humain-composition-sang-1995/" TargetMode="External"/><Relationship Id="rId22" Type="http://schemas.openxmlformats.org/officeDocument/2006/relationships/hyperlink" Target="https://www.futura-sciences.com/sante/definitions/sang-dyslipidemie-1863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91D70-C6E2-496D-865C-F7EE43A15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1474</Words>
  <Characters>8113</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NGSi</dc:creator>
  <cp:lastModifiedBy>NGSi</cp:lastModifiedBy>
  <cp:revision>2</cp:revision>
  <dcterms:created xsi:type="dcterms:W3CDTF">2021-11-15T12:29:00Z</dcterms:created>
  <dcterms:modified xsi:type="dcterms:W3CDTF">2021-11-15T12:29:00Z</dcterms:modified>
</cp:coreProperties>
</file>