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8C79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7F6CAAFC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820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153"/>
        <w:gridCol w:w="1494"/>
        <w:gridCol w:w="1641"/>
        <w:gridCol w:w="1103"/>
        <w:gridCol w:w="1898"/>
        <w:gridCol w:w="1531"/>
      </w:tblGrid>
      <w:tr w:rsidR="0088193E" w:rsidRPr="006D769D" w14:paraId="00148279" w14:textId="77777777" w:rsidTr="004D19BA">
        <w:trPr>
          <w:trHeight w:val="665"/>
          <w:jc w:val="center"/>
        </w:trPr>
        <w:tc>
          <w:tcPr>
            <w:tcW w:w="2160" w:type="dxa"/>
            <w:vAlign w:val="center"/>
          </w:tcPr>
          <w:p w14:paraId="06E88C1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22543D6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496" w:type="dxa"/>
            <w:vAlign w:val="center"/>
          </w:tcPr>
          <w:p w14:paraId="14C5795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76CC799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16" w:type="dxa"/>
            <w:vAlign w:val="center"/>
          </w:tcPr>
          <w:p w14:paraId="1D6142D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374CFEC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5" w:type="dxa"/>
          </w:tcPr>
          <w:p w14:paraId="1FD7E520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387DD09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06" w:type="dxa"/>
          </w:tcPr>
          <w:p w14:paraId="4DB92EFD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544C87D6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37" w:type="dxa"/>
          </w:tcPr>
          <w:p w14:paraId="1703F41D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0DB8A812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88193E" w:rsidRPr="006D769D" w14:paraId="66DFF4B8" w14:textId="77777777" w:rsidTr="004D19BA">
        <w:trPr>
          <w:trHeight w:val="250"/>
          <w:jc w:val="center"/>
        </w:trPr>
        <w:tc>
          <w:tcPr>
            <w:tcW w:w="2160" w:type="dxa"/>
            <w:vMerge w:val="restart"/>
            <w:vAlign w:val="center"/>
          </w:tcPr>
          <w:p w14:paraId="2DDE1DD2" w14:textId="77777777" w:rsidR="004D19BA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3D2ACE2B" w14:textId="77777777" w:rsidR="004D19BA" w:rsidRPr="006D769D" w:rsidRDefault="004D19BA" w:rsidP="005B3003">
            <w:pPr>
              <w:bidi w:val="0"/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</w:t>
            </w:r>
            <w:r w:rsidRPr="004D19BA">
              <w:rPr>
                <w:rFonts w:asciiTheme="minorBidi" w:hAnsiTheme="minorBidi"/>
                <w:b/>
                <w:bCs/>
                <w:color w:val="0F243E" w:themeColor="text2" w:themeShade="80"/>
              </w:rPr>
              <w:t>e</w:t>
            </w:r>
            <w:r w:rsidR="005B3003">
              <w:rPr>
                <w:rFonts w:asciiTheme="minorBidi" w:hAnsiTheme="minorBidi"/>
                <w:b/>
                <w:bCs/>
                <w:color w:val="0F243E" w:themeColor="text2" w:themeShade="80"/>
              </w:rPr>
              <w:t xml:space="preserve"> </w:t>
            </w:r>
            <w:r w:rsidR="005B3003">
              <w:rPr>
                <w:rFonts w:hint="cs"/>
                <w:b/>
                <w:bCs/>
                <w:color w:val="0F243E" w:themeColor="text2" w:themeShade="80"/>
                <w:rtl/>
              </w:rPr>
              <w:t>and Art</w:t>
            </w:r>
            <w:r w:rsidR="00C90B88">
              <w:rPr>
                <w:rFonts w:hint="cs"/>
                <w:b/>
                <w:bCs/>
                <w:color w:val="0F243E" w:themeColor="text2" w:themeShade="80"/>
                <w:rtl/>
              </w:rPr>
              <w:t>s</w:t>
            </w:r>
            <w:r w:rsidR="009C34A3">
              <w:rPr>
                <w:rFonts w:hint="cs"/>
                <w:b/>
                <w:bCs/>
                <w:color w:val="0F243E" w:themeColor="text2" w:themeShade="80"/>
                <w:rtl/>
              </w:rPr>
              <w:t>,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Tanomah</w:t>
            </w:r>
          </w:p>
        </w:tc>
        <w:tc>
          <w:tcPr>
            <w:tcW w:w="1496" w:type="dxa"/>
            <w:vMerge w:val="restart"/>
            <w:vAlign w:val="center"/>
          </w:tcPr>
          <w:p w14:paraId="2E3416AC" w14:textId="77777777" w:rsidR="004D19BA" w:rsidRPr="0088193E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rFonts w:hint="cs"/>
                <w:b/>
                <w:bCs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616" w:type="dxa"/>
            <w:vMerge w:val="restart"/>
            <w:vAlign w:val="center"/>
          </w:tcPr>
          <w:p w14:paraId="1F56902A" w14:textId="77777777" w:rsidR="004D19BA" w:rsidRPr="0088193E" w:rsidRDefault="004D19BA" w:rsidP="004D19BA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Microprocessor and Assembly Language</w:t>
            </w:r>
          </w:p>
        </w:tc>
        <w:tc>
          <w:tcPr>
            <w:tcW w:w="1105" w:type="dxa"/>
            <w:vMerge w:val="restart"/>
          </w:tcPr>
          <w:p w14:paraId="56E56044" w14:textId="77777777" w:rsidR="004D19BA" w:rsidRPr="0088193E" w:rsidRDefault="004D19BA" w:rsidP="004D19BA">
            <w:pPr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 xml:space="preserve">48   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38AAF5B5" w14:textId="08A56C73" w:rsidR="004D19BA" w:rsidRPr="006D769D" w:rsidRDefault="00DC4F54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3E1BAB" wp14:editId="7DF5D16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69215</wp:posOffset>
                      </wp:positionV>
                      <wp:extent cx="142875" cy="112395"/>
                      <wp:effectExtent l="0" t="0" r="2857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C1926" id="Straight Connector 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5.45pt" to="18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" strokecolor="#4579b8 [3044]"/>
                  </w:pict>
                </mc:Fallback>
              </mc:AlternateContent>
            </w:r>
            <w:r w:rsidR="004D19BA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7C88229" wp14:editId="1BC55FB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24130" b="2095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2A6BC" id="Rectangle 33" o:spid="_x0000_s1026" style="position:absolute;margin-left:4.1pt;margin-top:5.6pt;width:19.1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d8IQIAADw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"/>
                  </w:pict>
                </mc:Fallback>
              </mc:AlternateContent>
            </w:r>
            <w:r w:rsidR="004D19BA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4D19BA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37" w:type="dxa"/>
            <w:vMerge w:val="restart"/>
          </w:tcPr>
          <w:p w14:paraId="11A0F4E7" w14:textId="77777777" w:rsidR="004D19BA" w:rsidRPr="0088193E" w:rsidRDefault="004D19BA" w:rsidP="00C32D8D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100</w:t>
            </w:r>
          </w:p>
        </w:tc>
      </w:tr>
      <w:tr w:rsidR="0088193E" w:rsidRPr="006D769D" w14:paraId="22FC6563" w14:textId="77777777" w:rsidTr="004D19BA">
        <w:trPr>
          <w:trHeight w:val="249"/>
          <w:jc w:val="center"/>
        </w:trPr>
        <w:tc>
          <w:tcPr>
            <w:tcW w:w="2160" w:type="dxa"/>
            <w:vMerge/>
            <w:vAlign w:val="center"/>
          </w:tcPr>
          <w:p w14:paraId="38BC1687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22B91129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30D41CC0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545FB6D5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76F5F559" w14:textId="0553D49A" w:rsidR="001E6686" w:rsidRDefault="00DC4F5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0FCFD7" wp14:editId="422AC66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64135</wp:posOffset>
                      </wp:positionV>
                      <wp:extent cx="142875" cy="112395"/>
                      <wp:effectExtent l="0" t="0" r="28575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82BA2" id="Straight Connector 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5.05pt" to="18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8A5D37" wp14:editId="33A453A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4F442" id="Rectangle 34" o:spid="_x0000_s1026" style="position:absolute;margin-left:4.1pt;margin-top:4.95pt;width:19.1pt;height: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37" w:type="dxa"/>
            <w:vMerge/>
          </w:tcPr>
          <w:p w14:paraId="54D24DB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88193E" w:rsidRPr="006D769D" w14:paraId="4E46D211" w14:textId="77777777" w:rsidTr="004D19BA">
        <w:trPr>
          <w:trHeight w:val="250"/>
          <w:jc w:val="center"/>
        </w:trPr>
        <w:tc>
          <w:tcPr>
            <w:tcW w:w="2160" w:type="dxa"/>
            <w:vMerge/>
            <w:vAlign w:val="center"/>
          </w:tcPr>
          <w:p w14:paraId="47CA3CC3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3489EEB7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2A97AF35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18295E18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060B9065" w14:textId="09335D5C" w:rsidR="001E6686" w:rsidRDefault="00DC4F5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9135DE" wp14:editId="39F31AA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59055</wp:posOffset>
                      </wp:positionV>
                      <wp:extent cx="242570" cy="112395"/>
                      <wp:effectExtent l="0" t="0" r="24130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57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38C0A9" id="Straight Connector 1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4.65pt" to="2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D76BA9" wp14:editId="2006A4F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24130" b="2095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09DFF" id="Rectangle 35" o:spid="_x0000_s1026" style="position:absolute;margin-left:4.1pt;margin-top:4.3pt;width:19.1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37" w:type="dxa"/>
            <w:vMerge/>
          </w:tcPr>
          <w:p w14:paraId="04AF25B9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0DF5C84C" w14:textId="77777777" w:rsidR="00812746" w:rsidRDefault="00812746">
      <w:pPr>
        <w:rPr>
          <w:color w:val="0F243E" w:themeColor="text2" w:themeShade="80"/>
          <w:rtl/>
        </w:rPr>
      </w:pPr>
    </w:p>
    <w:p w14:paraId="2911B13A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26C8B897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  <w:bookmarkStart w:id="0" w:name="_GoBack"/>
      <w:bookmarkEnd w:id="0"/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29"/>
        <w:gridCol w:w="1702"/>
        <w:gridCol w:w="846"/>
        <w:gridCol w:w="5346"/>
      </w:tblGrid>
      <w:tr w:rsidR="00812746" w14:paraId="1C201BD1" w14:textId="77777777" w:rsidTr="000607FC">
        <w:trPr>
          <w:jc w:val="center"/>
        </w:trPr>
        <w:tc>
          <w:tcPr>
            <w:tcW w:w="2931" w:type="dxa"/>
            <w:gridSpan w:val="2"/>
          </w:tcPr>
          <w:p w14:paraId="7D5E4D5F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25CB3185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46" w:type="dxa"/>
          </w:tcPr>
          <w:p w14:paraId="7F378677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102E8A8E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346" w:type="dxa"/>
          </w:tcPr>
          <w:p w14:paraId="64861EDC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085ABD62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14:paraId="63BFD14D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16D7D1C8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46" w:type="dxa"/>
          </w:tcPr>
          <w:p w14:paraId="7097A99D" w14:textId="77777777" w:rsidR="00A0429B" w:rsidRPr="008C33D7" w:rsidRDefault="00CA11B7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79.</w:t>
            </w:r>
            <w:r w:rsidR="000607FC">
              <w:rPr>
                <w:b/>
                <w:bCs/>
                <w:color w:val="0F243E" w:themeColor="text2" w:themeShade="80"/>
              </w:rPr>
              <w:t>25</w:t>
            </w:r>
          </w:p>
        </w:tc>
        <w:tc>
          <w:tcPr>
            <w:tcW w:w="5346" w:type="dxa"/>
            <w:vMerge w:val="restart"/>
          </w:tcPr>
          <w:p w14:paraId="0552E293" w14:textId="77777777" w:rsidR="0082340E" w:rsidRDefault="005023A9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1575E" wp14:editId="54319E65">
                  <wp:extent cx="3257550" cy="2443163"/>
                  <wp:effectExtent l="0" t="0" r="0" b="0"/>
                  <wp:docPr id="7" name="Picture 7" descr=" data/media/histogram_section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data/media/histogram_section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316" cy="244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AE2AA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6759E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AEA6A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12095CCB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50CD6D49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46" w:type="dxa"/>
          </w:tcPr>
          <w:p w14:paraId="73E65C16" w14:textId="0F11FBA0" w:rsidR="00A0429B" w:rsidRPr="008C33D7" w:rsidRDefault="00CA11B7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1</w:t>
            </w:r>
            <w:r w:rsidR="000607FC">
              <w:rPr>
                <w:b/>
                <w:bCs/>
                <w:color w:val="0F243E" w:themeColor="text2" w:themeShade="80"/>
              </w:rPr>
              <w:t>3</w:t>
            </w:r>
            <w:r w:rsidRPr="008C33D7">
              <w:rPr>
                <w:b/>
                <w:bCs/>
                <w:color w:val="0F243E" w:themeColor="text2" w:themeShade="80"/>
              </w:rPr>
              <w:t>.</w:t>
            </w:r>
            <w:r w:rsidR="000607FC">
              <w:rPr>
                <w:b/>
                <w:bCs/>
                <w:color w:val="0F243E" w:themeColor="text2" w:themeShade="80"/>
              </w:rPr>
              <w:t>74</w:t>
            </w:r>
          </w:p>
        </w:tc>
        <w:tc>
          <w:tcPr>
            <w:tcW w:w="5346" w:type="dxa"/>
            <w:vMerge/>
          </w:tcPr>
          <w:p w14:paraId="6767BEA3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09D849F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C39889A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46" w:type="dxa"/>
          </w:tcPr>
          <w:p w14:paraId="163A3FE8" w14:textId="246EAED5" w:rsidR="00A0429B" w:rsidRPr="008C33D7" w:rsidRDefault="000607FC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1.25-</w:t>
            </w:r>
          </w:p>
        </w:tc>
        <w:tc>
          <w:tcPr>
            <w:tcW w:w="5346" w:type="dxa"/>
            <w:vMerge/>
          </w:tcPr>
          <w:p w14:paraId="53B27774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79A321E3" w14:textId="77777777" w:rsidTr="000607FC">
        <w:trPr>
          <w:trHeight w:val="382"/>
          <w:jc w:val="center"/>
        </w:trPr>
        <w:tc>
          <w:tcPr>
            <w:tcW w:w="1229" w:type="dxa"/>
            <w:vMerge w:val="restart"/>
            <w:vAlign w:val="center"/>
          </w:tcPr>
          <w:p w14:paraId="35F57552" w14:textId="77777777"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702" w:type="dxa"/>
            <w:vAlign w:val="center"/>
          </w:tcPr>
          <w:p w14:paraId="24A28F0D" w14:textId="77777777"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0B56B6E0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46" w:type="dxa"/>
            <w:vAlign w:val="center"/>
          </w:tcPr>
          <w:p w14:paraId="18B257FD" w14:textId="77777777" w:rsidR="00A0429B" w:rsidRPr="008C33D7" w:rsidRDefault="00A0429B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5346" w:type="dxa"/>
            <w:vMerge/>
          </w:tcPr>
          <w:p w14:paraId="0CE6499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2816A975" w14:textId="77777777" w:rsidTr="000607FC">
        <w:trPr>
          <w:trHeight w:val="382"/>
          <w:jc w:val="center"/>
        </w:trPr>
        <w:tc>
          <w:tcPr>
            <w:tcW w:w="1229" w:type="dxa"/>
            <w:vMerge/>
            <w:vAlign w:val="center"/>
          </w:tcPr>
          <w:p w14:paraId="02580C76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702" w:type="dxa"/>
            <w:vAlign w:val="center"/>
          </w:tcPr>
          <w:p w14:paraId="06E2BC40" w14:textId="77777777"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435C8B44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46" w:type="dxa"/>
            <w:vAlign w:val="center"/>
          </w:tcPr>
          <w:p w14:paraId="50577A06" w14:textId="49B20218" w:rsidR="00A0429B" w:rsidRPr="008C33D7" w:rsidRDefault="00F9600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0.</w:t>
            </w:r>
            <w:r w:rsidR="000607FC">
              <w:rPr>
                <w:b/>
                <w:bCs/>
                <w:color w:val="0F243E" w:themeColor="text2" w:themeShade="80"/>
              </w:rPr>
              <w:t>0003</w:t>
            </w:r>
          </w:p>
        </w:tc>
        <w:tc>
          <w:tcPr>
            <w:tcW w:w="5346" w:type="dxa"/>
            <w:vMerge/>
          </w:tcPr>
          <w:p w14:paraId="46F109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D0715B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86FB79D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46" w:type="dxa"/>
          </w:tcPr>
          <w:p w14:paraId="40E3A7CD" w14:textId="7D63DFCA" w:rsidR="00A0429B" w:rsidRPr="008C33D7" w:rsidRDefault="005D33B6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60</w:t>
            </w:r>
          </w:p>
        </w:tc>
        <w:tc>
          <w:tcPr>
            <w:tcW w:w="5346" w:type="dxa"/>
            <w:vMerge/>
          </w:tcPr>
          <w:p w14:paraId="78A92B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415C762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63D9CA33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46" w:type="dxa"/>
          </w:tcPr>
          <w:p w14:paraId="352EFEDD" w14:textId="1EE7DFC2" w:rsidR="00A0429B" w:rsidRPr="008C33D7" w:rsidRDefault="005D33B6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92</w:t>
            </w:r>
          </w:p>
        </w:tc>
        <w:tc>
          <w:tcPr>
            <w:tcW w:w="5346" w:type="dxa"/>
            <w:vMerge/>
          </w:tcPr>
          <w:p w14:paraId="66F4332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132E8FF7" w14:textId="77777777" w:rsidR="00812746" w:rsidRDefault="00812746">
      <w:pPr>
        <w:rPr>
          <w:color w:val="0F243E" w:themeColor="text2" w:themeShade="80"/>
          <w:rtl/>
        </w:rPr>
      </w:pPr>
    </w:p>
    <w:p w14:paraId="7C55B49E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7EFF12F2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40F462C4" w14:textId="77777777" w:rsidTr="00107AE4">
        <w:trPr>
          <w:trHeight w:val="2828"/>
          <w:jc w:val="center"/>
        </w:trPr>
        <w:tc>
          <w:tcPr>
            <w:tcW w:w="9273" w:type="dxa"/>
          </w:tcPr>
          <w:p w14:paraId="25CDD7BB" w14:textId="464B4AE3" w:rsidR="00EE0F96" w:rsidRDefault="00EE0F96" w:rsidP="00EE0F96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bookmarkStart w:id="1" w:name="_Hlk514325442"/>
            <w:r>
              <w:rPr>
                <w:b/>
                <w:bCs/>
                <w:color w:val="0F243E" w:themeColor="text2" w:themeShade="80"/>
              </w:rPr>
              <w:t>1.The Mean of students in the course for Microprocessor and Assembly language section (48) equals (79.25) which means that the Mean is good and shows an good average of marks.</w:t>
            </w:r>
          </w:p>
          <w:p w14:paraId="64D9F530" w14:textId="77777777" w:rsidR="00EE0F96" w:rsidRDefault="00EE0F96" w:rsidP="00EE0F96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</w:t>
            </w:r>
          </w:p>
          <w:p w14:paraId="18A0293D" w14:textId="38D2A2EC" w:rsidR="00EE0F96" w:rsidRPr="008878D8" w:rsidRDefault="00EE0F96" w:rsidP="00EE0F96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Standard deviation equals (13.74) which means that the deviation of marks is less inside the groups of data.</w:t>
            </w:r>
          </w:p>
          <w:p w14:paraId="535ACF71" w14:textId="38678B8E" w:rsidR="00EE0F96" w:rsidRDefault="00EE0F96" w:rsidP="00EE0F96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3</w:t>
            </w:r>
            <w:r w:rsidRPr="00D60616">
              <w:rPr>
                <w:b/>
                <w:bCs/>
                <w:color w:val="0F243E" w:themeColor="text2" w:themeShade="80"/>
              </w:rPr>
              <w:t>. Skewness is -0.</w:t>
            </w:r>
            <w:r>
              <w:rPr>
                <w:b/>
                <w:bCs/>
                <w:color w:val="0F243E" w:themeColor="text2" w:themeShade="80"/>
              </w:rPr>
              <w:t>0003</w:t>
            </w:r>
            <w:r w:rsidRPr="00D60616">
              <w:rPr>
                <w:b/>
                <w:bCs/>
                <w:color w:val="0F243E" w:themeColor="text2" w:themeShade="80"/>
              </w:rPr>
              <w:t xml:space="preserve"> which means</w:t>
            </w:r>
            <w:r>
              <w:rPr>
                <w:color w:val="0F243E" w:themeColor="text2" w:themeShade="80"/>
              </w:rPr>
              <w:t xml:space="preserve"> </w:t>
            </w:r>
            <w:r>
              <w:rPr>
                <w:b/>
                <w:bCs/>
                <w:color w:val="0F243E" w:themeColor="text2" w:themeShade="80"/>
              </w:rPr>
              <w:t>that the exam is suitable to the students’ performance.</w:t>
            </w:r>
          </w:p>
          <w:p w14:paraId="5DD50A6D" w14:textId="77777777" w:rsidR="00EE0F96" w:rsidRPr="00BA45F9" w:rsidRDefault="00EE0F96" w:rsidP="00EE0F96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lastRenderedPageBreak/>
              <w:t xml:space="preserve">4. The diagram shows that the exam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authentic because of the value of correlation between the course work and the final exam marks.</w:t>
            </w:r>
          </w:p>
          <w:p w14:paraId="50FDD269" w14:textId="77777777" w:rsidR="00EE0F96" w:rsidRDefault="00EE0F96" w:rsidP="00EE0F96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Recommendation:</w:t>
            </w:r>
          </w:p>
          <w:p w14:paraId="1A86D05E" w14:textId="75E177F3" w:rsidR="005E56F4" w:rsidRPr="00371F27" w:rsidRDefault="00EE0F96" w:rsidP="00EE0F96">
            <w:pPr>
              <w:spacing w:line="360" w:lineRule="auto"/>
              <w:jc w:val="right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  <w:bookmarkEnd w:id="1"/>
          </w:p>
        </w:tc>
      </w:tr>
    </w:tbl>
    <w:p w14:paraId="7A7DD104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52CB" w14:textId="77777777" w:rsidR="00FF43B2" w:rsidRDefault="00FF43B2" w:rsidP="008E1B2B">
      <w:pPr>
        <w:spacing w:after="0" w:line="240" w:lineRule="auto"/>
      </w:pPr>
      <w:r>
        <w:separator/>
      </w:r>
    </w:p>
  </w:endnote>
  <w:endnote w:type="continuationSeparator" w:id="0">
    <w:p w14:paraId="0999D2C5" w14:textId="77777777" w:rsidR="00FF43B2" w:rsidRDefault="00FF43B2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FDA8" w14:textId="77777777" w:rsidR="00FF43B2" w:rsidRDefault="00FF43B2" w:rsidP="008E1B2B">
      <w:pPr>
        <w:spacing w:after="0" w:line="240" w:lineRule="auto"/>
      </w:pPr>
      <w:r>
        <w:separator/>
      </w:r>
    </w:p>
  </w:footnote>
  <w:footnote w:type="continuationSeparator" w:id="0">
    <w:p w14:paraId="08815B62" w14:textId="77777777" w:rsidR="00FF43B2" w:rsidRDefault="00FF43B2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D7F4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6423B1EF" wp14:editId="486E07EC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4032CA5E" wp14:editId="778A459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9DDDED" wp14:editId="595775A2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B48ABF6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7DF9A340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6CF8D8D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21A497F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42678892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8EF23B4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DDDED" id="Rectangle 5" o:spid="_x0000_s1026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B48ABF6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7DF9A340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6CF8D8D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21A497F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42678892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8EF23B4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75216FE6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1ECEB69B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7B400915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62A97458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19E14EC7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16FF4"/>
    <w:multiLevelType w:val="multilevel"/>
    <w:tmpl w:val="568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94"/>
    <w:rsid w:val="0001061C"/>
    <w:rsid w:val="00043348"/>
    <w:rsid w:val="000607FC"/>
    <w:rsid w:val="0009635F"/>
    <w:rsid w:val="00107AE4"/>
    <w:rsid w:val="001221ED"/>
    <w:rsid w:val="00136F06"/>
    <w:rsid w:val="001443A2"/>
    <w:rsid w:val="001B1DA1"/>
    <w:rsid w:val="001B5B03"/>
    <w:rsid w:val="001C7EC2"/>
    <w:rsid w:val="001E6686"/>
    <w:rsid w:val="001E742B"/>
    <w:rsid w:val="00250654"/>
    <w:rsid w:val="0025663F"/>
    <w:rsid w:val="00270779"/>
    <w:rsid w:val="00286D5F"/>
    <w:rsid w:val="002C5306"/>
    <w:rsid w:val="003310F7"/>
    <w:rsid w:val="00371F27"/>
    <w:rsid w:val="00384DDF"/>
    <w:rsid w:val="003E06E0"/>
    <w:rsid w:val="00421BB1"/>
    <w:rsid w:val="0044613C"/>
    <w:rsid w:val="00450DC9"/>
    <w:rsid w:val="0045540C"/>
    <w:rsid w:val="004D19BA"/>
    <w:rsid w:val="005023A9"/>
    <w:rsid w:val="0053411B"/>
    <w:rsid w:val="005B3003"/>
    <w:rsid w:val="005D33B6"/>
    <w:rsid w:val="005E56F4"/>
    <w:rsid w:val="006210AA"/>
    <w:rsid w:val="00636688"/>
    <w:rsid w:val="00690961"/>
    <w:rsid w:val="006B2206"/>
    <w:rsid w:val="006D769D"/>
    <w:rsid w:val="006F16A5"/>
    <w:rsid w:val="006F1827"/>
    <w:rsid w:val="00702D4D"/>
    <w:rsid w:val="0073511B"/>
    <w:rsid w:val="007A634A"/>
    <w:rsid w:val="007E315B"/>
    <w:rsid w:val="0081153F"/>
    <w:rsid w:val="00812746"/>
    <w:rsid w:val="008155AC"/>
    <w:rsid w:val="0082340E"/>
    <w:rsid w:val="00853AD7"/>
    <w:rsid w:val="00862694"/>
    <w:rsid w:val="0086736D"/>
    <w:rsid w:val="0088193E"/>
    <w:rsid w:val="008839BB"/>
    <w:rsid w:val="008976C8"/>
    <w:rsid w:val="008C33D7"/>
    <w:rsid w:val="008D7879"/>
    <w:rsid w:val="008E1B2B"/>
    <w:rsid w:val="009034CF"/>
    <w:rsid w:val="009078CF"/>
    <w:rsid w:val="00924A08"/>
    <w:rsid w:val="00942FC1"/>
    <w:rsid w:val="009555D5"/>
    <w:rsid w:val="009618B4"/>
    <w:rsid w:val="009675B8"/>
    <w:rsid w:val="00995450"/>
    <w:rsid w:val="009C34A3"/>
    <w:rsid w:val="00A0429B"/>
    <w:rsid w:val="00A6158C"/>
    <w:rsid w:val="00A81C3F"/>
    <w:rsid w:val="00B03DFB"/>
    <w:rsid w:val="00B62696"/>
    <w:rsid w:val="00BC0B8D"/>
    <w:rsid w:val="00BE0B94"/>
    <w:rsid w:val="00BF1999"/>
    <w:rsid w:val="00BF376D"/>
    <w:rsid w:val="00C14DFB"/>
    <w:rsid w:val="00C32D8D"/>
    <w:rsid w:val="00C60176"/>
    <w:rsid w:val="00C90B88"/>
    <w:rsid w:val="00CA1106"/>
    <w:rsid w:val="00CA11B7"/>
    <w:rsid w:val="00CB5626"/>
    <w:rsid w:val="00CE3F2C"/>
    <w:rsid w:val="00D134D5"/>
    <w:rsid w:val="00D30D26"/>
    <w:rsid w:val="00D51BD6"/>
    <w:rsid w:val="00DC416C"/>
    <w:rsid w:val="00DC4F54"/>
    <w:rsid w:val="00DD5091"/>
    <w:rsid w:val="00DE1FC4"/>
    <w:rsid w:val="00DF02F2"/>
    <w:rsid w:val="00DF709A"/>
    <w:rsid w:val="00E254CD"/>
    <w:rsid w:val="00E44C9A"/>
    <w:rsid w:val="00E53475"/>
    <w:rsid w:val="00E71242"/>
    <w:rsid w:val="00EB6D4A"/>
    <w:rsid w:val="00EC4C2B"/>
    <w:rsid w:val="00ED62F3"/>
    <w:rsid w:val="00EE0F96"/>
    <w:rsid w:val="00EF135F"/>
    <w:rsid w:val="00F30962"/>
    <w:rsid w:val="00F544B2"/>
    <w:rsid w:val="00F96005"/>
    <w:rsid w:val="00FF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9072"/>
  <w15:docId w15:val="{C057A050-FE12-4369-9562-A0AF8072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D51BD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D51B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32F8-D784-47E8-B3D7-54531A2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36</cp:revision>
  <cp:lastPrinted>2013-05-05T07:15:00Z</cp:lastPrinted>
  <dcterms:created xsi:type="dcterms:W3CDTF">2018-05-10T06:55:00Z</dcterms:created>
  <dcterms:modified xsi:type="dcterms:W3CDTF">2018-12-26T08:02:00Z</dcterms:modified>
</cp:coreProperties>
</file>