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Aptos Display" w:hAnsi="Aptos Display"/>
          <w:b/>
          <w:color w:val="17365D"/>
          <w:sz w:val="48"/>
        </w:rPr>
        <w:t>GrowVest Manual Investment &amp; Insurance Data Guide</w:t>
      </w:r>
    </w:p>
    <w:p>
      <w:r>
        <w:rPr>
          <w:b/>
          <w:color w:val="666666"/>
        </w:rPr>
        <w:t>Version 0.33.3 - data examples, field definitions and recommended insurance workflow</w:t>
      </w:r>
    </w:p>
    <w:p>
      <w:r>
        <w:rPr>
          <w:b/>
          <w:color w:val="9C6500"/>
        </w:rPr>
        <w:t xml:space="preserve">Important: </w:t>
      </w:r>
      <w:r>
        <w:rPr>
          <w:color w:val="9C6500"/>
        </w:rPr>
        <w:t>the sample workbooks contain realistic illustrative data only. Replace every sample value with the investor's actual policy/statement data before production use.</w:t>
      </w:r>
    </w:p>
    <w:p>
      <w:pPr>
        <w:pStyle w:val="Heading1"/>
      </w:pPr>
      <w:r>
        <w:t>1. What has been prepared</w:t>
      </w:r>
    </w:p>
    <w:p>
      <w:r>
        <w:t>Two practical workbooks accompany this guide. The first is the existing single-investor Manual Investment template populated with realistic sample holdings and transactions. The second is a proposed Insurance Policy template that can be used as the schema for the new insurance portfolio capability.</w:t>
      </w:r>
    </w:p>
    <w:p>
      <w:pPr>
        <w:pStyle w:val="ListBullet"/>
      </w:pPr>
      <w:r>
        <w:t>GrowVest_Manual_Investment_Filled_Sample_v0.33.2.xlsx - safe reference for the current manual investment importer after sample values are replaced.</w:t>
      </w:r>
    </w:p>
    <w:p>
      <w:pPr>
        <w:pStyle w:val="ListBullet"/>
      </w:pPr>
      <w:r>
        <w:t>GrowVest_Insurance_Policy_Template_Proposed_v0.33.3.xlsx - proposed standard insurance data structure with Health, Vehicle, Home, Term Life, Personal Accident and Travel examples.</w:t>
      </w:r>
    </w:p>
    <w:p>
      <w:pPr>
        <w:pStyle w:val="Heading1"/>
      </w:pPr>
      <w:r>
        <w:t>2. Manual Investment workbook - how to use it</w:t>
      </w:r>
    </w:p>
    <w:p>
      <w:r>
        <w:t>The Manual Investments sheet is a current-holdings upload. One row represents one investment or holding for the selected investor. The existing column names and positions must not be renamed or removed because the current importer depends on them.</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17365D"/>
          </w:tcPr>
          <w:p>
            <w:r/>
            <w:r>
              <w:rPr>
                <w:rFonts w:ascii="Aptos" w:hAnsi="Aptos"/>
                <w:b/>
                <w:color w:val="FFFFFF"/>
                <w:sz w:val="18"/>
              </w:rPr>
              <w:t>Field</w:t>
            </w:r>
          </w:p>
        </w:tc>
        <w:tc>
          <w:tcPr>
            <w:tcW w:type="dxa" w:w="2541"/>
            <w:vAlign w:val="top"/>
            <w:shd w:fill="17365D"/>
          </w:tcPr>
          <w:p>
            <w:r/>
            <w:r>
              <w:rPr>
                <w:rFonts w:ascii="Aptos" w:hAnsi="Aptos"/>
                <w:b/>
                <w:color w:val="FFFFFF"/>
                <w:sz w:val="18"/>
              </w:rPr>
              <w:t>Meaning</w:t>
            </w:r>
          </w:p>
        </w:tc>
        <w:tc>
          <w:tcPr>
            <w:tcW w:type="dxa" w:w="2541"/>
            <w:vAlign w:val="top"/>
            <w:shd w:fill="17365D"/>
          </w:tcPr>
          <w:p>
            <w:r/>
            <w:r>
              <w:rPr>
                <w:rFonts w:ascii="Aptos" w:hAnsi="Aptos"/>
                <w:b/>
                <w:color w:val="FFFFFF"/>
                <w:sz w:val="18"/>
              </w:rPr>
              <w:t>Usage</w:t>
            </w:r>
          </w:p>
        </w:tc>
        <w:tc>
          <w:tcPr>
            <w:tcW w:type="dxa" w:w="2541"/>
            <w:vAlign w:val="top"/>
            <w:shd w:fill="17365D"/>
          </w:tcPr>
          <w:p>
            <w:r/>
            <w:r>
              <w:rPr>
                <w:rFonts w:ascii="Aptos" w:hAnsi="Aptos"/>
                <w:b/>
                <w:color w:val="FFFFFF"/>
                <w:sz w:val="18"/>
              </w:rPr>
              <w:t>Example</w:t>
            </w:r>
          </w:p>
        </w:tc>
      </w:tr>
      <w:tr>
        <w:tc>
          <w:tcPr>
            <w:tcW w:type="dxa" w:w="2541"/>
            <w:vAlign w:val="top"/>
          </w:tcPr>
          <w:p>
            <w:r/>
            <w:r>
              <w:rPr>
                <w:rFonts w:ascii="Aptos" w:hAnsi="Aptos"/>
                <w:b/>
                <w:sz w:val="17"/>
              </w:rPr>
              <w:t>Investment Type</w:t>
            </w:r>
          </w:p>
        </w:tc>
        <w:tc>
          <w:tcPr>
            <w:tcW w:type="dxa" w:w="2541"/>
            <w:vAlign w:val="top"/>
          </w:tcPr>
          <w:p>
            <w:r/>
            <w:r>
              <w:rPr>
                <w:rFonts w:ascii="Aptos" w:hAnsi="Aptos"/>
                <w:b w:val="0"/>
                <w:sz w:val="17"/>
              </w:rPr>
              <w:t>Asset category such as Mutual Fund, Equity, ULIP, Fixed Deposit, Bond, NPS, PPF, Gold, PMS or Real Estate.</w:t>
            </w:r>
          </w:p>
        </w:tc>
        <w:tc>
          <w:tcPr>
            <w:tcW w:type="dxa" w:w="2541"/>
            <w:vAlign w:val="top"/>
          </w:tcPr>
          <w:p>
            <w:r/>
            <w:r>
              <w:rPr>
                <w:rFonts w:ascii="Aptos" w:hAnsi="Aptos"/>
                <w:b w:val="0"/>
                <w:sz w:val="17"/>
              </w:rPr>
              <w:t>Required</w:t>
            </w:r>
          </w:p>
        </w:tc>
        <w:tc>
          <w:tcPr>
            <w:tcW w:type="dxa" w:w="2541"/>
            <w:vAlign w:val="top"/>
          </w:tcPr>
          <w:p>
            <w:r/>
            <w:r>
              <w:rPr>
                <w:rFonts w:ascii="Aptos" w:hAnsi="Aptos"/>
                <w:b w:val="0"/>
                <w:sz w:val="17"/>
              </w:rPr>
              <w:t>Mutual Fund</w:t>
            </w:r>
          </w:p>
        </w:tc>
      </w:tr>
      <w:tr>
        <w:tc>
          <w:tcPr>
            <w:tcW w:type="dxa" w:w="2541"/>
            <w:vAlign w:val="top"/>
          </w:tcPr>
          <w:p>
            <w:r/>
            <w:r>
              <w:rPr>
                <w:rFonts w:ascii="Aptos" w:hAnsi="Aptos"/>
                <w:b/>
                <w:sz w:val="17"/>
              </w:rPr>
              <w:t>Product / Investment Name</w:t>
            </w:r>
          </w:p>
        </w:tc>
        <w:tc>
          <w:tcPr>
            <w:tcW w:type="dxa" w:w="2541"/>
            <w:vAlign w:val="top"/>
          </w:tcPr>
          <w:p>
            <w:r/>
            <w:r>
              <w:rPr>
                <w:rFonts w:ascii="Aptos" w:hAnsi="Aptos"/>
                <w:b w:val="0"/>
                <w:sz w:val="17"/>
              </w:rPr>
              <w:t>Exact scheme/security/account/property name.</w:t>
            </w:r>
          </w:p>
        </w:tc>
        <w:tc>
          <w:tcPr>
            <w:tcW w:type="dxa" w:w="2541"/>
            <w:vAlign w:val="top"/>
          </w:tcPr>
          <w:p>
            <w:r/>
            <w:r>
              <w:rPr>
                <w:rFonts w:ascii="Aptos" w:hAnsi="Aptos"/>
                <w:b w:val="0"/>
                <w:sz w:val="17"/>
              </w:rPr>
              <w:t>Required</w:t>
            </w:r>
          </w:p>
        </w:tc>
        <w:tc>
          <w:tcPr>
            <w:tcW w:type="dxa" w:w="2541"/>
            <w:vAlign w:val="top"/>
          </w:tcPr>
          <w:p>
            <w:r/>
            <w:r>
              <w:rPr>
                <w:rFonts w:ascii="Aptos" w:hAnsi="Aptos"/>
                <w:b w:val="0"/>
                <w:sz w:val="17"/>
              </w:rPr>
              <w:t>HDFC Flexi Cap Fund - Direct Growth</w:t>
            </w:r>
          </w:p>
        </w:tc>
      </w:tr>
      <w:tr>
        <w:tc>
          <w:tcPr>
            <w:tcW w:type="dxa" w:w="2541"/>
            <w:vAlign w:val="top"/>
          </w:tcPr>
          <w:p>
            <w:r/>
            <w:r>
              <w:rPr>
                <w:rFonts w:ascii="Aptos" w:hAnsi="Aptos"/>
                <w:b/>
                <w:sz w:val="17"/>
              </w:rPr>
              <w:t>Provider / Platform</w:t>
            </w:r>
          </w:p>
        </w:tc>
        <w:tc>
          <w:tcPr>
            <w:tcW w:type="dxa" w:w="2541"/>
            <w:vAlign w:val="top"/>
          </w:tcPr>
          <w:p>
            <w:r/>
            <w:r>
              <w:rPr>
                <w:rFonts w:ascii="Aptos" w:hAnsi="Aptos"/>
                <w:b w:val="0"/>
                <w:sz w:val="17"/>
              </w:rPr>
              <w:t>AMC, broker, bank, insurer, platform or manual source.</w:t>
            </w:r>
          </w:p>
        </w:tc>
        <w:tc>
          <w:tcPr>
            <w:tcW w:type="dxa" w:w="2541"/>
            <w:vAlign w:val="top"/>
          </w:tcPr>
          <w:p>
            <w:r/>
            <w:r>
              <w:rPr>
                <w:rFonts w:ascii="Aptos" w:hAnsi="Aptos"/>
                <w:b w:val="0"/>
                <w:sz w:val="17"/>
              </w:rPr>
              <w:t>Recommended</w:t>
            </w:r>
          </w:p>
        </w:tc>
        <w:tc>
          <w:tcPr>
            <w:tcW w:type="dxa" w:w="2541"/>
            <w:vAlign w:val="top"/>
          </w:tcPr>
          <w:p>
            <w:r/>
            <w:r>
              <w:rPr>
                <w:rFonts w:ascii="Aptos" w:hAnsi="Aptos"/>
                <w:b w:val="0"/>
                <w:sz w:val="17"/>
              </w:rPr>
              <w:t>HDFC Mutual Fund</w:t>
            </w:r>
          </w:p>
        </w:tc>
      </w:tr>
      <w:tr>
        <w:tc>
          <w:tcPr>
            <w:tcW w:type="dxa" w:w="2541"/>
            <w:vAlign w:val="top"/>
          </w:tcPr>
          <w:p>
            <w:r/>
            <w:r>
              <w:rPr>
                <w:rFonts w:ascii="Aptos" w:hAnsi="Aptos"/>
                <w:b/>
                <w:sz w:val="17"/>
              </w:rPr>
              <w:t>Folio / Account / Policy No.</w:t>
            </w:r>
          </w:p>
        </w:tc>
        <w:tc>
          <w:tcPr>
            <w:tcW w:type="dxa" w:w="2541"/>
            <w:vAlign w:val="top"/>
          </w:tcPr>
          <w:p>
            <w:r/>
            <w:r>
              <w:rPr>
                <w:rFonts w:ascii="Aptos" w:hAnsi="Aptos"/>
                <w:b w:val="0"/>
                <w:sz w:val="17"/>
              </w:rPr>
              <w:t>Stable identifier used to distinguish holdings.</w:t>
            </w:r>
          </w:p>
        </w:tc>
        <w:tc>
          <w:tcPr>
            <w:tcW w:type="dxa" w:w="2541"/>
            <w:vAlign w:val="top"/>
          </w:tcPr>
          <w:p>
            <w:r/>
            <w:r>
              <w:rPr>
                <w:rFonts w:ascii="Aptos" w:hAnsi="Aptos"/>
                <w:b w:val="0"/>
                <w:sz w:val="17"/>
              </w:rPr>
              <w:t>Recommended</w:t>
            </w:r>
          </w:p>
        </w:tc>
        <w:tc>
          <w:tcPr>
            <w:tcW w:type="dxa" w:w="2541"/>
            <w:vAlign w:val="top"/>
          </w:tcPr>
          <w:p>
            <w:r/>
            <w:r>
              <w:rPr>
                <w:rFonts w:ascii="Aptos" w:hAnsi="Aptos"/>
                <w:b w:val="0"/>
                <w:sz w:val="17"/>
              </w:rPr>
              <w:t>MF-FOLIO-10001</w:t>
            </w:r>
          </w:p>
        </w:tc>
      </w:tr>
      <w:tr>
        <w:tc>
          <w:tcPr>
            <w:tcW w:type="dxa" w:w="2541"/>
            <w:vAlign w:val="top"/>
          </w:tcPr>
          <w:p>
            <w:r/>
            <w:r>
              <w:rPr>
                <w:rFonts w:ascii="Aptos" w:hAnsi="Aptos"/>
                <w:b/>
                <w:sz w:val="17"/>
              </w:rPr>
              <w:t>Investment Mode</w:t>
            </w:r>
          </w:p>
        </w:tc>
        <w:tc>
          <w:tcPr>
            <w:tcW w:type="dxa" w:w="2541"/>
            <w:vAlign w:val="top"/>
          </w:tcPr>
          <w:p>
            <w:r/>
            <w:r>
              <w:rPr>
                <w:rFonts w:ascii="Aptos" w:hAnsi="Aptos"/>
                <w:b w:val="0"/>
                <w:sz w:val="17"/>
              </w:rPr>
              <w:t>SIP, Lump Sum, Delivery, Premium, Recurring or Other.</w:t>
            </w:r>
          </w:p>
        </w:tc>
        <w:tc>
          <w:tcPr>
            <w:tcW w:type="dxa" w:w="2541"/>
            <w:vAlign w:val="top"/>
          </w:tcPr>
          <w:p>
            <w:r/>
            <w:r>
              <w:rPr>
                <w:rFonts w:ascii="Aptos" w:hAnsi="Aptos"/>
                <w:b w:val="0"/>
                <w:sz w:val="17"/>
              </w:rPr>
              <w:t>Required</w:t>
            </w:r>
          </w:p>
        </w:tc>
        <w:tc>
          <w:tcPr>
            <w:tcW w:type="dxa" w:w="2541"/>
            <w:vAlign w:val="top"/>
          </w:tcPr>
          <w:p>
            <w:r/>
            <w:r>
              <w:rPr>
                <w:rFonts w:ascii="Aptos" w:hAnsi="Aptos"/>
                <w:b w:val="0"/>
                <w:sz w:val="17"/>
              </w:rPr>
              <w:t>SIP</w:t>
            </w:r>
          </w:p>
        </w:tc>
      </w:tr>
      <w:tr>
        <w:tc>
          <w:tcPr>
            <w:tcW w:type="dxa" w:w="2541"/>
            <w:vAlign w:val="top"/>
          </w:tcPr>
          <w:p>
            <w:r/>
            <w:r>
              <w:rPr>
                <w:rFonts w:ascii="Aptos" w:hAnsi="Aptos"/>
                <w:b/>
                <w:sz w:val="17"/>
              </w:rPr>
              <w:t>Investment Date</w:t>
            </w:r>
          </w:p>
        </w:tc>
        <w:tc>
          <w:tcPr>
            <w:tcW w:type="dxa" w:w="2541"/>
            <w:vAlign w:val="top"/>
          </w:tcPr>
          <w:p>
            <w:r/>
            <w:r>
              <w:rPr>
                <w:rFonts w:ascii="Aptos" w:hAnsi="Aptos"/>
                <w:b w:val="0"/>
                <w:sz w:val="17"/>
              </w:rPr>
              <w:t>Original investment/start date.</w:t>
            </w:r>
          </w:p>
        </w:tc>
        <w:tc>
          <w:tcPr>
            <w:tcW w:type="dxa" w:w="2541"/>
            <w:vAlign w:val="top"/>
          </w:tcPr>
          <w:p>
            <w:r/>
            <w:r>
              <w:rPr>
                <w:rFonts w:ascii="Aptos" w:hAnsi="Aptos"/>
                <w:b w:val="0"/>
                <w:sz w:val="17"/>
              </w:rPr>
              <w:t>Recommended</w:t>
            </w:r>
          </w:p>
        </w:tc>
        <w:tc>
          <w:tcPr>
            <w:tcW w:type="dxa" w:w="2541"/>
            <w:vAlign w:val="top"/>
          </w:tcPr>
          <w:p>
            <w:r/>
            <w:r>
              <w:rPr>
                <w:rFonts w:ascii="Aptos" w:hAnsi="Aptos"/>
                <w:b w:val="0"/>
                <w:sz w:val="17"/>
              </w:rPr>
              <w:t>10-Jan-2024</w:t>
            </w:r>
          </w:p>
        </w:tc>
      </w:tr>
      <w:tr>
        <w:tc>
          <w:tcPr>
            <w:tcW w:type="dxa" w:w="2541"/>
            <w:vAlign w:val="top"/>
          </w:tcPr>
          <w:p>
            <w:r/>
            <w:r>
              <w:rPr>
                <w:rFonts w:ascii="Aptos" w:hAnsi="Aptos"/>
                <w:b/>
                <w:sz w:val="17"/>
              </w:rPr>
              <w:t>Invested Amount</w:t>
            </w:r>
          </w:p>
        </w:tc>
        <w:tc>
          <w:tcPr>
            <w:tcW w:type="dxa" w:w="2541"/>
            <w:vAlign w:val="top"/>
          </w:tcPr>
          <w:p>
            <w:r/>
            <w:r>
              <w:rPr>
                <w:rFonts w:ascii="Aptos" w:hAnsi="Aptos"/>
                <w:b w:val="0"/>
                <w:sz w:val="17"/>
              </w:rPr>
              <w:t>Total capital invested into the current holding.</w:t>
            </w:r>
          </w:p>
        </w:tc>
        <w:tc>
          <w:tcPr>
            <w:tcW w:type="dxa" w:w="2541"/>
            <w:vAlign w:val="top"/>
          </w:tcPr>
          <w:p>
            <w:r/>
            <w:r>
              <w:rPr>
                <w:rFonts w:ascii="Aptos" w:hAnsi="Aptos"/>
                <w:b w:val="0"/>
                <w:sz w:val="17"/>
              </w:rPr>
              <w:t>Required</w:t>
            </w:r>
          </w:p>
        </w:tc>
        <w:tc>
          <w:tcPr>
            <w:tcW w:type="dxa" w:w="2541"/>
            <w:vAlign w:val="top"/>
          </w:tcPr>
          <w:p>
            <w:r/>
            <w:r>
              <w:rPr>
                <w:rFonts w:ascii="Aptos" w:hAnsi="Aptos"/>
                <w:b w:val="0"/>
                <w:sz w:val="17"/>
              </w:rPr>
              <w:t>₹1,80,000</w:t>
            </w:r>
          </w:p>
        </w:tc>
      </w:tr>
      <w:tr>
        <w:tc>
          <w:tcPr>
            <w:tcW w:type="dxa" w:w="2541"/>
            <w:vAlign w:val="top"/>
          </w:tcPr>
          <w:p>
            <w:r/>
            <w:r>
              <w:rPr>
                <w:rFonts w:ascii="Aptos" w:hAnsi="Aptos"/>
                <w:b/>
                <w:sz w:val="17"/>
              </w:rPr>
              <w:t>Units / Quantity</w:t>
            </w:r>
          </w:p>
        </w:tc>
        <w:tc>
          <w:tcPr>
            <w:tcW w:type="dxa" w:w="2541"/>
            <w:vAlign w:val="top"/>
          </w:tcPr>
          <w:p>
            <w:r/>
            <w:r>
              <w:rPr>
                <w:rFonts w:ascii="Aptos" w:hAnsi="Aptos"/>
                <w:b w:val="0"/>
                <w:sz w:val="17"/>
              </w:rPr>
              <w:t>Current units/shares/quantity, where applicable.</w:t>
            </w:r>
          </w:p>
        </w:tc>
        <w:tc>
          <w:tcPr>
            <w:tcW w:type="dxa" w:w="2541"/>
            <w:vAlign w:val="top"/>
          </w:tcPr>
          <w:p>
            <w:r/>
            <w:r>
              <w:rPr>
                <w:rFonts w:ascii="Aptos" w:hAnsi="Aptos"/>
                <w:b w:val="0"/>
                <w:sz w:val="17"/>
              </w:rPr>
              <w:t>Recommended</w:t>
            </w:r>
          </w:p>
        </w:tc>
        <w:tc>
          <w:tcPr>
            <w:tcW w:type="dxa" w:w="2541"/>
            <w:vAlign w:val="top"/>
          </w:tcPr>
          <w:p>
            <w:r/>
            <w:r>
              <w:rPr>
                <w:rFonts w:ascii="Aptos" w:hAnsi="Aptos"/>
                <w:b w:val="0"/>
                <w:sz w:val="17"/>
              </w:rPr>
              <w:t>1,465.2010</w:t>
            </w:r>
          </w:p>
        </w:tc>
      </w:tr>
      <w:tr>
        <w:tc>
          <w:tcPr>
            <w:tcW w:type="dxa" w:w="2541"/>
            <w:vAlign w:val="top"/>
          </w:tcPr>
          <w:p>
            <w:r/>
            <w:r>
              <w:rPr>
                <w:rFonts w:ascii="Aptos" w:hAnsi="Aptos"/>
                <w:b/>
                <w:sz w:val="17"/>
              </w:rPr>
              <w:t>Purchase NAV / Rate</w:t>
            </w:r>
          </w:p>
        </w:tc>
        <w:tc>
          <w:tcPr>
            <w:tcW w:type="dxa" w:w="2541"/>
            <w:vAlign w:val="top"/>
          </w:tcPr>
          <w:p>
            <w:r/>
            <w:r>
              <w:rPr>
                <w:rFonts w:ascii="Aptos" w:hAnsi="Aptos"/>
                <w:b w:val="0"/>
                <w:sz w:val="17"/>
              </w:rPr>
              <w:t>Average purchase NAV/rate or unit cost.</w:t>
            </w:r>
          </w:p>
        </w:tc>
        <w:tc>
          <w:tcPr>
            <w:tcW w:type="dxa" w:w="2541"/>
            <w:vAlign w:val="top"/>
          </w:tcPr>
          <w:p>
            <w:r/>
            <w:r>
              <w:rPr>
                <w:rFonts w:ascii="Aptos" w:hAnsi="Aptos"/>
                <w:b w:val="0"/>
                <w:sz w:val="17"/>
              </w:rPr>
              <w:t>Recommended</w:t>
            </w:r>
          </w:p>
        </w:tc>
        <w:tc>
          <w:tcPr>
            <w:tcW w:type="dxa" w:w="2541"/>
            <w:vAlign w:val="top"/>
          </w:tcPr>
          <w:p>
            <w:r/>
            <w:r>
              <w:rPr>
                <w:rFonts w:ascii="Aptos" w:hAnsi="Aptos"/>
                <w:b w:val="0"/>
                <w:sz w:val="17"/>
              </w:rPr>
              <w:t>₹122.85</w:t>
            </w:r>
          </w:p>
        </w:tc>
      </w:tr>
      <w:tr>
        <w:tc>
          <w:tcPr>
            <w:tcW w:type="dxa" w:w="2541"/>
            <w:vAlign w:val="top"/>
          </w:tcPr>
          <w:p>
            <w:r/>
            <w:r>
              <w:rPr>
                <w:rFonts w:ascii="Aptos" w:hAnsi="Aptos"/>
                <w:b/>
                <w:sz w:val="17"/>
              </w:rPr>
              <w:t>Current NAV / Rate</w:t>
            </w:r>
          </w:p>
        </w:tc>
        <w:tc>
          <w:tcPr>
            <w:tcW w:type="dxa" w:w="2541"/>
            <w:vAlign w:val="top"/>
          </w:tcPr>
          <w:p>
            <w:r/>
            <w:r>
              <w:rPr>
                <w:rFonts w:ascii="Aptos" w:hAnsi="Aptos"/>
                <w:b w:val="0"/>
                <w:sz w:val="17"/>
              </w:rPr>
              <w:t>Latest valuation NAV/rate.</w:t>
            </w:r>
          </w:p>
        </w:tc>
        <w:tc>
          <w:tcPr>
            <w:tcW w:type="dxa" w:w="2541"/>
            <w:vAlign w:val="top"/>
          </w:tcPr>
          <w:p>
            <w:r/>
            <w:r>
              <w:rPr>
                <w:rFonts w:ascii="Aptos" w:hAnsi="Aptos"/>
                <w:b w:val="0"/>
                <w:sz w:val="17"/>
              </w:rPr>
              <w:t>Recommended</w:t>
            </w:r>
          </w:p>
        </w:tc>
        <w:tc>
          <w:tcPr>
            <w:tcW w:type="dxa" w:w="2541"/>
            <w:vAlign w:val="top"/>
          </w:tcPr>
          <w:p>
            <w:r/>
            <w:r>
              <w:rPr>
                <w:rFonts w:ascii="Aptos" w:hAnsi="Aptos"/>
                <w:b w:val="0"/>
                <w:sz w:val="17"/>
              </w:rPr>
              <w:t>₹156.40</w:t>
            </w:r>
          </w:p>
        </w:tc>
      </w:tr>
      <w:tr>
        <w:tc>
          <w:tcPr>
            <w:tcW w:type="dxa" w:w="2541"/>
            <w:vAlign w:val="top"/>
          </w:tcPr>
          <w:p>
            <w:r/>
            <w:r>
              <w:rPr>
                <w:rFonts w:ascii="Aptos" w:hAnsi="Aptos"/>
                <w:b/>
                <w:sz w:val="17"/>
              </w:rPr>
              <w:t>Current Value</w:t>
            </w:r>
          </w:p>
        </w:tc>
        <w:tc>
          <w:tcPr>
            <w:tcW w:type="dxa" w:w="2541"/>
            <w:vAlign w:val="top"/>
          </w:tcPr>
          <w:p>
            <w:r/>
            <w:r>
              <w:rPr>
                <w:rFonts w:ascii="Aptos" w:hAnsi="Aptos"/>
                <w:b w:val="0"/>
                <w:sz w:val="17"/>
              </w:rPr>
              <w:t>Current market/statement/manual value as of Valuation Date.</w:t>
            </w:r>
          </w:p>
        </w:tc>
        <w:tc>
          <w:tcPr>
            <w:tcW w:type="dxa" w:w="2541"/>
            <w:vAlign w:val="top"/>
          </w:tcPr>
          <w:p>
            <w:r/>
            <w:r>
              <w:rPr>
                <w:rFonts w:ascii="Aptos" w:hAnsi="Aptos"/>
                <w:b w:val="0"/>
                <w:sz w:val="17"/>
              </w:rPr>
              <w:t>Required for reliable reporting</w:t>
            </w:r>
          </w:p>
        </w:tc>
        <w:tc>
          <w:tcPr>
            <w:tcW w:type="dxa" w:w="2541"/>
            <w:vAlign w:val="top"/>
          </w:tcPr>
          <w:p>
            <w:r/>
            <w:r>
              <w:rPr>
                <w:rFonts w:ascii="Aptos" w:hAnsi="Aptos"/>
                <w:b w:val="0"/>
                <w:sz w:val="17"/>
              </w:rPr>
              <w:t>₹2,29,079.44</w:t>
            </w:r>
          </w:p>
        </w:tc>
      </w:tr>
      <w:tr>
        <w:tc>
          <w:tcPr>
            <w:tcW w:type="dxa" w:w="2541"/>
            <w:vAlign w:val="top"/>
          </w:tcPr>
          <w:p>
            <w:r/>
            <w:r>
              <w:rPr>
                <w:rFonts w:ascii="Aptos" w:hAnsi="Aptos"/>
                <w:b/>
                <w:sz w:val="17"/>
              </w:rPr>
              <w:t>Monthly SIP / Contribution</w:t>
            </w:r>
          </w:p>
        </w:tc>
        <w:tc>
          <w:tcPr>
            <w:tcW w:type="dxa" w:w="2541"/>
            <w:vAlign w:val="top"/>
          </w:tcPr>
          <w:p>
            <w:r/>
            <w:r>
              <w:rPr>
                <w:rFonts w:ascii="Aptos" w:hAnsi="Aptos"/>
                <w:b w:val="0"/>
                <w:sz w:val="17"/>
              </w:rPr>
              <w:t>Ongoing monthly amount, where applicable.</w:t>
            </w:r>
          </w:p>
        </w:tc>
        <w:tc>
          <w:tcPr>
            <w:tcW w:type="dxa" w:w="2541"/>
            <w:vAlign w:val="top"/>
          </w:tcPr>
          <w:p>
            <w:r/>
            <w:r>
              <w:rPr>
                <w:rFonts w:ascii="Aptos" w:hAnsi="Aptos"/>
                <w:b w:val="0"/>
                <w:sz w:val="17"/>
              </w:rPr>
              <w:t>Optional</w:t>
            </w:r>
          </w:p>
        </w:tc>
        <w:tc>
          <w:tcPr>
            <w:tcW w:type="dxa" w:w="2541"/>
            <w:vAlign w:val="top"/>
          </w:tcPr>
          <w:p>
            <w:r/>
            <w:r>
              <w:rPr>
                <w:rFonts w:ascii="Aptos" w:hAnsi="Aptos"/>
                <w:b w:val="0"/>
                <w:sz w:val="17"/>
              </w:rPr>
              <w:t>₹5,000</w:t>
            </w:r>
          </w:p>
        </w:tc>
      </w:tr>
      <w:tr>
        <w:tc>
          <w:tcPr>
            <w:tcW w:type="dxa" w:w="2541"/>
            <w:vAlign w:val="top"/>
          </w:tcPr>
          <w:p>
            <w:r/>
            <w:r>
              <w:rPr>
                <w:rFonts w:ascii="Aptos" w:hAnsi="Aptos"/>
                <w:b/>
                <w:sz w:val="17"/>
              </w:rPr>
              <w:t>SIP Status</w:t>
            </w:r>
          </w:p>
        </w:tc>
        <w:tc>
          <w:tcPr>
            <w:tcW w:type="dxa" w:w="2541"/>
            <w:vAlign w:val="top"/>
          </w:tcPr>
          <w:p>
            <w:r/>
            <w:r>
              <w:rPr>
                <w:rFonts w:ascii="Aptos" w:hAnsi="Aptos"/>
                <w:b w:val="0"/>
                <w:sz w:val="17"/>
              </w:rPr>
              <w:t>Active, Paused, Stopped or NA.</w:t>
            </w:r>
          </w:p>
        </w:tc>
        <w:tc>
          <w:tcPr>
            <w:tcW w:type="dxa" w:w="2541"/>
            <w:vAlign w:val="top"/>
          </w:tcPr>
          <w:p>
            <w:r/>
            <w:r>
              <w:rPr>
                <w:rFonts w:ascii="Aptos" w:hAnsi="Aptos"/>
                <w:b w:val="0"/>
                <w:sz w:val="17"/>
              </w:rPr>
              <w:t>Optional</w:t>
            </w:r>
          </w:p>
        </w:tc>
        <w:tc>
          <w:tcPr>
            <w:tcW w:type="dxa" w:w="2541"/>
            <w:vAlign w:val="top"/>
          </w:tcPr>
          <w:p>
            <w:r/>
            <w:r>
              <w:rPr>
                <w:rFonts w:ascii="Aptos" w:hAnsi="Aptos"/>
                <w:b w:val="0"/>
                <w:sz w:val="17"/>
              </w:rPr>
              <w:t>Active</w:t>
            </w:r>
          </w:p>
        </w:tc>
      </w:tr>
      <w:tr>
        <w:tc>
          <w:tcPr>
            <w:tcW w:type="dxa" w:w="2541"/>
            <w:vAlign w:val="top"/>
          </w:tcPr>
          <w:p>
            <w:r/>
            <w:r>
              <w:rPr>
                <w:rFonts w:ascii="Aptos" w:hAnsi="Aptos"/>
                <w:b/>
                <w:sz w:val="17"/>
              </w:rPr>
              <w:t>Valuation Date</w:t>
            </w:r>
          </w:p>
        </w:tc>
        <w:tc>
          <w:tcPr>
            <w:tcW w:type="dxa" w:w="2541"/>
            <w:vAlign w:val="top"/>
          </w:tcPr>
          <w:p>
            <w:r/>
            <w:r>
              <w:rPr>
                <w:rFonts w:ascii="Aptos" w:hAnsi="Aptos"/>
                <w:b w:val="0"/>
                <w:sz w:val="17"/>
              </w:rPr>
              <w:t>Date on which Current Value is valid.</w:t>
            </w:r>
          </w:p>
        </w:tc>
        <w:tc>
          <w:tcPr>
            <w:tcW w:type="dxa" w:w="2541"/>
            <w:vAlign w:val="top"/>
          </w:tcPr>
          <w:p>
            <w:r/>
            <w:r>
              <w:rPr>
                <w:rFonts w:ascii="Aptos" w:hAnsi="Aptos"/>
                <w:b w:val="0"/>
                <w:sz w:val="17"/>
              </w:rPr>
              <w:t>Required</w:t>
            </w:r>
          </w:p>
        </w:tc>
        <w:tc>
          <w:tcPr>
            <w:tcW w:type="dxa" w:w="2541"/>
            <w:vAlign w:val="top"/>
          </w:tcPr>
          <w:p>
            <w:r/>
            <w:r>
              <w:rPr>
                <w:rFonts w:ascii="Aptos" w:hAnsi="Aptos"/>
                <w:b w:val="0"/>
                <w:sz w:val="17"/>
              </w:rPr>
              <w:t>31-Aug-2026</w:t>
            </w:r>
          </w:p>
        </w:tc>
      </w:tr>
      <w:tr>
        <w:tc>
          <w:tcPr>
            <w:tcW w:type="dxa" w:w="2541"/>
            <w:vAlign w:val="top"/>
          </w:tcPr>
          <w:p>
            <w:r/>
            <w:r>
              <w:rPr>
                <w:rFonts w:ascii="Aptos" w:hAnsi="Aptos"/>
                <w:b/>
                <w:sz w:val="17"/>
              </w:rPr>
              <w:t>Bucket List</w:t>
            </w:r>
          </w:p>
        </w:tc>
        <w:tc>
          <w:tcPr>
            <w:tcW w:type="dxa" w:w="2541"/>
            <w:vAlign w:val="top"/>
          </w:tcPr>
          <w:p>
            <w:r/>
            <w:r>
              <w:rPr>
                <w:rFonts w:ascii="Aptos" w:hAnsi="Aptos"/>
                <w:b w:val="0"/>
                <w:sz w:val="17"/>
              </w:rPr>
              <w:t>Goal name; blank should map to General Wealth.</w:t>
            </w:r>
          </w:p>
        </w:tc>
        <w:tc>
          <w:tcPr>
            <w:tcW w:type="dxa" w:w="2541"/>
            <w:vAlign w:val="top"/>
          </w:tcPr>
          <w:p>
            <w:r/>
            <w:r>
              <w:rPr>
                <w:rFonts w:ascii="Aptos" w:hAnsi="Aptos"/>
                <w:b w:val="0"/>
                <w:sz w:val="17"/>
              </w:rPr>
              <w:t>Optional</w:t>
            </w:r>
          </w:p>
        </w:tc>
        <w:tc>
          <w:tcPr>
            <w:tcW w:type="dxa" w:w="2541"/>
            <w:vAlign w:val="top"/>
          </w:tcPr>
          <w:p>
            <w:r/>
            <w:r>
              <w:rPr>
                <w:rFonts w:ascii="Aptos" w:hAnsi="Aptos"/>
                <w:b w:val="0"/>
                <w:sz w:val="17"/>
              </w:rPr>
              <w:t>Retirement Freedom</w:t>
            </w:r>
          </w:p>
        </w:tc>
      </w:tr>
      <w:tr>
        <w:tc>
          <w:tcPr>
            <w:tcW w:type="dxa" w:w="2541"/>
            <w:vAlign w:val="top"/>
          </w:tcPr>
          <w:p>
            <w:r/>
            <w:r>
              <w:rPr>
                <w:rFonts w:ascii="Aptos" w:hAnsi="Aptos"/>
                <w:b/>
                <w:sz w:val="17"/>
              </w:rPr>
              <w:t>Notes</w:t>
            </w:r>
          </w:p>
        </w:tc>
        <w:tc>
          <w:tcPr>
            <w:tcW w:type="dxa" w:w="2541"/>
            <w:vAlign w:val="top"/>
          </w:tcPr>
          <w:p>
            <w:r/>
            <w:r>
              <w:rPr>
                <w:rFonts w:ascii="Aptos" w:hAnsi="Aptos"/>
                <w:b w:val="0"/>
                <w:sz w:val="17"/>
              </w:rPr>
              <w:t>Operational context or valuation note.</w:t>
            </w:r>
          </w:p>
        </w:tc>
        <w:tc>
          <w:tcPr>
            <w:tcW w:type="dxa" w:w="2541"/>
            <w:vAlign w:val="top"/>
          </w:tcPr>
          <w:p>
            <w:r/>
            <w:r>
              <w:rPr>
                <w:rFonts w:ascii="Aptos" w:hAnsi="Aptos"/>
                <w:b w:val="0"/>
                <w:sz w:val="17"/>
              </w:rPr>
              <w:t>Optional</w:t>
            </w:r>
          </w:p>
        </w:tc>
        <w:tc>
          <w:tcPr>
            <w:tcW w:type="dxa" w:w="2541"/>
            <w:vAlign w:val="top"/>
          </w:tcPr>
          <w:p>
            <w:r/>
            <w:r>
              <w:rPr>
                <w:rFonts w:ascii="Aptos" w:hAnsi="Aptos"/>
                <w:b w:val="0"/>
                <w:sz w:val="17"/>
              </w:rPr>
              <w:t>Illustrative values; replace with actual statement data.</w:t>
            </w:r>
          </w:p>
        </w:tc>
      </w:tr>
    </w:tbl>
    <w:p>
      <w:pPr>
        <w:pStyle w:val="Heading2"/>
      </w:pPr>
      <w:r>
        <w:t>Transactions (Optional)</w:t>
      </w:r>
    </w:p>
    <w:p>
      <w:r>
        <w:t>Use the Transactions sheet only when transaction-level history is needed. It is not required for a simple current-holdings import. For Mutual Funds, this can preserve SIP, lump-sum, redemption and switch history. For Delivery Equity, Buy/Sell transactions can be recorded. Intraday trades should continue to remain in the separate Trading flow so they are not automatically counted toward Bucket List corpus.</w:t>
      </w:r>
    </w:p>
    <w:p>
      <w:pPr>
        <w:pStyle w:val="Heading1"/>
      </w:pPr>
      <w:r>
        <w:t>3. Insurance should be added to the investor portfolio</w:t>
      </w:r>
    </w:p>
    <w:p>
      <w:r>
        <w:t>Yes. Insurance fits naturally inside the investor portfolio because it is a protection asset, not an investment return asset. It should be visible alongside the wealth portfolio without being added to portfolio market value or investment corpus. The investor should be able to see what is covered, how much protection exists, which policies are due for renewal, and which premiums are approaching.</w:t>
      </w:r>
    </w:p>
    <w:p>
      <w:pPr>
        <w:pStyle w:val="Heading2"/>
      </w:pPr>
      <w:r>
        <w:t>Recommended investor portfolio structure</w:t>
      </w:r>
    </w:p>
    <w:p>
      <w:pPr>
        <w:pStyle w:val="ListBullet"/>
      </w:pPr>
      <w:r>
        <w:t>Investments - Mutual Funds, Equity Delivery, ULIP investment value, Fixed Income, NPS, PPF, Gold, Real Estate and other investments.</w:t>
      </w:r>
    </w:p>
    <w:p>
      <w:pPr>
        <w:pStyle w:val="ListBullet"/>
      </w:pPr>
      <w:r>
        <w:t>Trading - Intraday and active trading activity kept separate from long-term portfolio corpus.</w:t>
      </w:r>
    </w:p>
    <w:p>
      <w:pPr>
        <w:pStyle w:val="ListBullet"/>
      </w:pPr>
      <w:r>
        <w:t>Insurance - Health, Vehicle, Home, Term Life and additional insurance types with coverage and renewal tracking.</w:t>
      </w:r>
    </w:p>
    <w:p>
      <w:r>
        <w:t>Insurance cover amounts must not be added to Net Worth or Current Portfolio Value. They should appear as protection coverage metrics instead.</w:t>
      </w:r>
    </w:p>
    <w:p>
      <w:pPr>
        <w:pStyle w:val="Heading1"/>
      </w:pPr>
      <w:r>
        <w:t>4. Standard insurance fields</w:t>
      </w:r>
    </w:p>
    <w:p>
      <w:r>
        <w:t>The proposed Insurance Policy template uses one row per active policy. Universal fields are stored for every policy, while type-specific fields are shown only when relevant in the application UI.</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7365D"/>
          </w:tcPr>
          <w:p>
            <w:r/>
            <w:r>
              <w:rPr>
                <w:rFonts w:ascii="Aptos" w:hAnsi="Aptos"/>
                <w:b/>
                <w:color w:val="FFFFFF"/>
                <w:sz w:val="18"/>
              </w:rPr>
              <w:t>Standard field</w:t>
            </w:r>
          </w:p>
        </w:tc>
        <w:tc>
          <w:tcPr>
            <w:tcW w:type="dxa" w:w="5083"/>
            <w:vAlign w:val="top"/>
            <w:shd w:fill="17365D"/>
          </w:tcPr>
          <w:p>
            <w:r/>
            <w:r>
              <w:rPr>
                <w:rFonts w:ascii="Aptos" w:hAnsi="Aptos"/>
                <w:b/>
                <w:color w:val="FFFFFF"/>
                <w:sz w:val="18"/>
              </w:rPr>
              <w:t>Purpose</w:t>
            </w:r>
          </w:p>
        </w:tc>
      </w:tr>
      <w:tr>
        <w:tc>
          <w:tcPr>
            <w:tcW w:type="dxa" w:w="5083"/>
            <w:vAlign w:val="top"/>
          </w:tcPr>
          <w:p>
            <w:r/>
            <w:r>
              <w:rPr>
                <w:rFonts w:ascii="Aptos" w:hAnsi="Aptos"/>
                <w:b/>
                <w:sz w:val="17"/>
              </w:rPr>
              <w:t>Insurance Type</w:t>
            </w:r>
          </w:p>
        </w:tc>
        <w:tc>
          <w:tcPr>
            <w:tcW w:type="dxa" w:w="5083"/>
            <w:vAlign w:val="top"/>
          </w:tcPr>
          <w:p>
            <w:r/>
            <w:r>
              <w:rPr>
                <w:rFonts w:ascii="Aptos" w:hAnsi="Aptos"/>
                <w:b w:val="0"/>
                <w:sz w:val="17"/>
              </w:rPr>
              <w:t>Health, Vehicle, Home, Term Life, Personal Accident, Travel, Critical Illness, Cyber, Other</w:t>
            </w:r>
          </w:p>
        </w:tc>
      </w:tr>
      <w:tr>
        <w:tc>
          <w:tcPr>
            <w:tcW w:type="dxa" w:w="5083"/>
            <w:vAlign w:val="top"/>
          </w:tcPr>
          <w:p>
            <w:r/>
            <w:r>
              <w:rPr>
                <w:rFonts w:ascii="Aptos" w:hAnsi="Aptos"/>
                <w:b/>
                <w:sz w:val="17"/>
              </w:rPr>
              <w:t>Plan / Product Name</w:t>
            </w:r>
          </w:p>
        </w:tc>
        <w:tc>
          <w:tcPr>
            <w:tcW w:type="dxa" w:w="5083"/>
            <w:vAlign w:val="top"/>
          </w:tcPr>
          <w:p>
            <w:r/>
            <w:r>
              <w:rPr>
                <w:rFonts w:ascii="Aptos" w:hAnsi="Aptos"/>
                <w:b w:val="0"/>
                <w:sz w:val="17"/>
              </w:rPr>
              <w:t>Exact policy/plan name</w:t>
            </w:r>
          </w:p>
        </w:tc>
      </w:tr>
      <w:tr>
        <w:tc>
          <w:tcPr>
            <w:tcW w:type="dxa" w:w="5083"/>
            <w:vAlign w:val="top"/>
          </w:tcPr>
          <w:p>
            <w:r/>
            <w:r>
              <w:rPr>
                <w:rFonts w:ascii="Aptos" w:hAnsi="Aptos"/>
                <w:b/>
                <w:sz w:val="17"/>
              </w:rPr>
              <w:t>Insurer</w:t>
            </w:r>
          </w:p>
        </w:tc>
        <w:tc>
          <w:tcPr>
            <w:tcW w:type="dxa" w:w="5083"/>
            <w:vAlign w:val="top"/>
          </w:tcPr>
          <w:p>
            <w:r/>
            <w:r>
              <w:rPr>
                <w:rFonts w:ascii="Aptos" w:hAnsi="Aptos"/>
                <w:b w:val="0"/>
                <w:sz w:val="17"/>
              </w:rPr>
              <w:t>Insurance company</w:t>
            </w:r>
          </w:p>
        </w:tc>
      </w:tr>
      <w:tr>
        <w:tc>
          <w:tcPr>
            <w:tcW w:type="dxa" w:w="5083"/>
            <w:vAlign w:val="top"/>
          </w:tcPr>
          <w:p>
            <w:r/>
            <w:r>
              <w:rPr>
                <w:rFonts w:ascii="Aptos" w:hAnsi="Aptos"/>
                <w:b/>
                <w:sz w:val="17"/>
              </w:rPr>
              <w:t>Policy Number</w:t>
            </w:r>
          </w:p>
        </w:tc>
        <w:tc>
          <w:tcPr>
            <w:tcW w:type="dxa" w:w="5083"/>
            <w:vAlign w:val="top"/>
          </w:tcPr>
          <w:p>
            <w:r/>
            <w:r>
              <w:rPr>
                <w:rFonts w:ascii="Aptos" w:hAnsi="Aptos"/>
                <w:b w:val="0"/>
                <w:sz w:val="17"/>
              </w:rPr>
              <w:t>Primary policy identifier</w:t>
            </w:r>
          </w:p>
        </w:tc>
      </w:tr>
      <w:tr>
        <w:tc>
          <w:tcPr>
            <w:tcW w:type="dxa" w:w="5083"/>
            <w:vAlign w:val="top"/>
          </w:tcPr>
          <w:p>
            <w:r/>
            <w:r>
              <w:rPr>
                <w:rFonts w:ascii="Aptos" w:hAnsi="Aptos"/>
                <w:b/>
                <w:sz w:val="17"/>
              </w:rPr>
              <w:t>Policy Holder</w:t>
            </w:r>
          </w:p>
        </w:tc>
        <w:tc>
          <w:tcPr>
            <w:tcW w:type="dxa" w:w="5083"/>
            <w:vAlign w:val="top"/>
          </w:tcPr>
          <w:p>
            <w:r/>
            <w:r>
              <w:rPr>
                <w:rFonts w:ascii="Aptos" w:hAnsi="Aptos"/>
                <w:b w:val="0"/>
                <w:sz w:val="17"/>
              </w:rPr>
              <w:t>Owner of the policy</w:t>
            </w:r>
          </w:p>
        </w:tc>
      </w:tr>
      <w:tr>
        <w:tc>
          <w:tcPr>
            <w:tcW w:type="dxa" w:w="5083"/>
            <w:vAlign w:val="top"/>
          </w:tcPr>
          <w:p>
            <w:r/>
            <w:r>
              <w:rPr>
                <w:rFonts w:ascii="Aptos" w:hAnsi="Aptos"/>
                <w:b/>
                <w:sz w:val="17"/>
              </w:rPr>
              <w:t>Insured Person / Asset</w:t>
            </w:r>
          </w:p>
        </w:tc>
        <w:tc>
          <w:tcPr>
            <w:tcW w:type="dxa" w:w="5083"/>
            <w:vAlign w:val="top"/>
          </w:tcPr>
          <w:p>
            <w:r/>
            <w:r>
              <w:rPr>
                <w:rFonts w:ascii="Aptos" w:hAnsi="Aptos"/>
                <w:b w:val="0"/>
                <w:sz w:val="17"/>
              </w:rPr>
              <w:t>Person, family, vehicle or property covered</w:t>
            </w:r>
          </w:p>
        </w:tc>
      </w:tr>
      <w:tr>
        <w:tc>
          <w:tcPr>
            <w:tcW w:type="dxa" w:w="5083"/>
            <w:vAlign w:val="top"/>
          </w:tcPr>
          <w:p>
            <w:r/>
            <w:r>
              <w:rPr>
                <w:rFonts w:ascii="Aptos" w:hAnsi="Aptos"/>
                <w:b/>
                <w:sz w:val="17"/>
              </w:rPr>
              <w:t>Cover Type / Variant</w:t>
            </w:r>
          </w:p>
        </w:tc>
        <w:tc>
          <w:tcPr>
            <w:tcW w:type="dxa" w:w="5083"/>
            <w:vAlign w:val="top"/>
          </w:tcPr>
          <w:p>
            <w:r/>
            <w:r>
              <w:rPr>
                <w:rFonts w:ascii="Aptos" w:hAnsi="Aptos"/>
                <w:b w:val="0"/>
                <w:sz w:val="17"/>
              </w:rPr>
              <w:t>Family floater, Comprehensive Motor, Level Term, Building + Contents, etc.</w:t>
            </w:r>
          </w:p>
        </w:tc>
      </w:tr>
      <w:tr>
        <w:tc>
          <w:tcPr>
            <w:tcW w:type="dxa" w:w="5083"/>
            <w:vAlign w:val="top"/>
          </w:tcPr>
          <w:p>
            <w:r/>
            <w:r>
              <w:rPr>
                <w:rFonts w:ascii="Aptos" w:hAnsi="Aptos"/>
                <w:b/>
                <w:sz w:val="17"/>
              </w:rPr>
              <w:t>Start Date</w:t>
            </w:r>
          </w:p>
        </w:tc>
        <w:tc>
          <w:tcPr>
            <w:tcW w:type="dxa" w:w="5083"/>
            <w:vAlign w:val="top"/>
          </w:tcPr>
          <w:p>
            <w:r/>
            <w:r>
              <w:rPr>
                <w:rFonts w:ascii="Aptos" w:hAnsi="Aptos"/>
                <w:b w:val="0"/>
                <w:sz w:val="17"/>
              </w:rPr>
              <w:t>Policy inception/current-period start</w:t>
            </w:r>
          </w:p>
        </w:tc>
      </w:tr>
      <w:tr>
        <w:tc>
          <w:tcPr>
            <w:tcW w:type="dxa" w:w="5083"/>
            <w:vAlign w:val="top"/>
          </w:tcPr>
          <w:p>
            <w:r/>
            <w:r>
              <w:rPr>
                <w:rFonts w:ascii="Aptos" w:hAnsi="Aptos"/>
                <w:b/>
                <w:sz w:val="17"/>
              </w:rPr>
              <w:t>Expiry / Renewal Date</w:t>
            </w:r>
          </w:p>
        </w:tc>
        <w:tc>
          <w:tcPr>
            <w:tcW w:type="dxa" w:w="5083"/>
            <w:vAlign w:val="top"/>
          </w:tcPr>
          <w:p>
            <w:r/>
            <w:r>
              <w:rPr>
                <w:rFonts w:ascii="Aptos" w:hAnsi="Aptos"/>
                <w:b w:val="0"/>
                <w:sz w:val="17"/>
              </w:rPr>
              <w:t>Renewable policy expiry or renewal date</w:t>
            </w:r>
          </w:p>
        </w:tc>
      </w:tr>
      <w:tr>
        <w:tc>
          <w:tcPr>
            <w:tcW w:type="dxa" w:w="5083"/>
            <w:vAlign w:val="top"/>
          </w:tcPr>
          <w:p>
            <w:r/>
            <w:r>
              <w:rPr>
                <w:rFonts w:ascii="Aptos" w:hAnsi="Aptos"/>
                <w:b/>
                <w:sz w:val="17"/>
              </w:rPr>
              <w:t>Sum Insured / Cover Amount</w:t>
            </w:r>
          </w:p>
        </w:tc>
        <w:tc>
          <w:tcPr>
            <w:tcW w:type="dxa" w:w="5083"/>
            <w:vAlign w:val="top"/>
          </w:tcPr>
          <w:p>
            <w:r/>
            <w:r>
              <w:rPr>
                <w:rFonts w:ascii="Aptos" w:hAnsi="Aptos"/>
                <w:b w:val="0"/>
                <w:sz w:val="17"/>
              </w:rPr>
              <w:t>Coverage amount</w:t>
            </w:r>
          </w:p>
        </w:tc>
      </w:tr>
      <w:tr>
        <w:tc>
          <w:tcPr>
            <w:tcW w:type="dxa" w:w="5083"/>
            <w:vAlign w:val="top"/>
          </w:tcPr>
          <w:p>
            <w:r/>
            <w:r>
              <w:rPr>
                <w:rFonts w:ascii="Aptos" w:hAnsi="Aptos"/>
                <w:b/>
                <w:sz w:val="17"/>
              </w:rPr>
              <w:t>Premium Amount</w:t>
            </w:r>
          </w:p>
        </w:tc>
        <w:tc>
          <w:tcPr>
            <w:tcW w:type="dxa" w:w="5083"/>
            <w:vAlign w:val="top"/>
          </w:tcPr>
          <w:p>
            <w:r/>
            <w:r>
              <w:rPr>
                <w:rFonts w:ascii="Aptos" w:hAnsi="Aptos"/>
                <w:b w:val="0"/>
                <w:sz w:val="17"/>
              </w:rPr>
              <w:t>Amount payable</w:t>
            </w:r>
          </w:p>
        </w:tc>
      </w:tr>
      <w:tr>
        <w:tc>
          <w:tcPr>
            <w:tcW w:type="dxa" w:w="5083"/>
            <w:vAlign w:val="top"/>
          </w:tcPr>
          <w:p>
            <w:r/>
            <w:r>
              <w:rPr>
                <w:rFonts w:ascii="Aptos" w:hAnsi="Aptos"/>
                <w:b/>
                <w:sz w:val="17"/>
              </w:rPr>
              <w:t>Premium Frequency</w:t>
            </w:r>
          </w:p>
        </w:tc>
        <w:tc>
          <w:tcPr>
            <w:tcW w:type="dxa" w:w="5083"/>
            <w:vAlign w:val="top"/>
          </w:tcPr>
          <w:p>
            <w:r/>
            <w:r>
              <w:rPr>
                <w:rFonts w:ascii="Aptos" w:hAnsi="Aptos"/>
                <w:b w:val="0"/>
                <w:sz w:val="17"/>
              </w:rPr>
              <w:t>Monthly, quarterly, half-yearly, annual or single premium</w:t>
            </w:r>
          </w:p>
        </w:tc>
      </w:tr>
      <w:tr>
        <w:tc>
          <w:tcPr>
            <w:tcW w:type="dxa" w:w="5083"/>
            <w:vAlign w:val="top"/>
          </w:tcPr>
          <w:p>
            <w:r/>
            <w:r>
              <w:rPr>
                <w:rFonts w:ascii="Aptos" w:hAnsi="Aptos"/>
                <w:b/>
                <w:sz w:val="17"/>
              </w:rPr>
              <w:t>Next Premium Due Date</w:t>
            </w:r>
          </w:p>
        </w:tc>
        <w:tc>
          <w:tcPr>
            <w:tcW w:type="dxa" w:w="5083"/>
            <w:vAlign w:val="top"/>
          </w:tcPr>
          <w:p>
            <w:r/>
            <w:r>
              <w:rPr>
                <w:rFonts w:ascii="Aptos" w:hAnsi="Aptos"/>
                <w:b w:val="0"/>
                <w:sz w:val="17"/>
              </w:rPr>
              <w:t>Important for term/life policies and recurring premiums</w:t>
            </w:r>
          </w:p>
        </w:tc>
      </w:tr>
      <w:tr>
        <w:tc>
          <w:tcPr>
            <w:tcW w:type="dxa" w:w="5083"/>
            <w:vAlign w:val="top"/>
          </w:tcPr>
          <w:p>
            <w:r/>
            <w:r>
              <w:rPr>
                <w:rFonts w:ascii="Aptos" w:hAnsi="Aptos"/>
                <w:b/>
                <w:sz w:val="17"/>
              </w:rPr>
              <w:t>Policy Status</w:t>
            </w:r>
          </w:p>
        </w:tc>
        <w:tc>
          <w:tcPr>
            <w:tcW w:type="dxa" w:w="5083"/>
            <w:vAlign w:val="top"/>
          </w:tcPr>
          <w:p>
            <w:r/>
            <w:r>
              <w:rPr>
                <w:rFonts w:ascii="Aptos" w:hAnsi="Aptos"/>
                <w:b w:val="0"/>
                <w:sz w:val="17"/>
              </w:rPr>
              <w:t>Active, Expiring Soon, Grace Period, Expired, Lapsed, Cancelled</w:t>
            </w:r>
          </w:p>
        </w:tc>
      </w:tr>
      <w:tr>
        <w:tc>
          <w:tcPr>
            <w:tcW w:type="dxa" w:w="5083"/>
            <w:vAlign w:val="top"/>
          </w:tcPr>
          <w:p>
            <w:r/>
            <w:r>
              <w:rPr>
                <w:rFonts w:ascii="Aptos" w:hAnsi="Aptos"/>
                <w:b/>
                <w:sz w:val="17"/>
              </w:rPr>
              <w:t>Nominee / Beneficiary</w:t>
            </w:r>
          </w:p>
        </w:tc>
        <w:tc>
          <w:tcPr>
            <w:tcW w:type="dxa" w:w="5083"/>
            <w:vAlign w:val="top"/>
          </w:tcPr>
          <w:p>
            <w:r/>
            <w:r>
              <w:rPr>
                <w:rFonts w:ascii="Aptos" w:hAnsi="Aptos"/>
                <w:b w:val="0"/>
                <w:sz w:val="17"/>
              </w:rPr>
              <w:t>Where applicable</w:t>
            </w:r>
          </w:p>
        </w:tc>
      </w:tr>
      <w:tr>
        <w:tc>
          <w:tcPr>
            <w:tcW w:type="dxa" w:w="5083"/>
            <w:vAlign w:val="top"/>
          </w:tcPr>
          <w:p>
            <w:r/>
            <w:r>
              <w:rPr>
                <w:rFonts w:ascii="Aptos" w:hAnsi="Aptos"/>
                <w:b/>
                <w:sz w:val="17"/>
              </w:rPr>
              <w:t>Advisor / Broker</w:t>
            </w:r>
          </w:p>
        </w:tc>
        <w:tc>
          <w:tcPr>
            <w:tcW w:type="dxa" w:w="5083"/>
            <w:vAlign w:val="top"/>
          </w:tcPr>
          <w:p>
            <w:r/>
            <w:r>
              <w:rPr>
                <w:rFonts w:ascii="Aptos" w:hAnsi="Aptos"/>
                <w:b w:val="0"/>
                <w:sz w:val="17"/>
              </w:rPr>
              <w:t>Existing servicing advisor or broker</w:t>
            </w:r>
          </w:p>
        </w:tc>
      </w:tr>
      <w:tr>
        <w:tc>
          <w:tcPr>
            <w:tcW w:type="dxa" w:w="5083"/>
            <w:vAlign w:val="top"/>
          </w:tcPr>
          <w:p>
            <w:r/>
            <w:r>
              <w:rPr>
                <w:rFonts w:ascii="Aptos" w:hAnsi="Aptos"/>
                <w:b/>
                <w:sz w:val="17"/>
              </w:rPr>
              <w:t>Reminder Days</w:t>
            </w:r>
          </w:p>
        </w:tc>
        <w:tc>
          <w:tcPr>
            <w:tcW w:type="dxa" w:w="5083"/>
            <w:vAlign w:val="top"/>
          </w:tcPr>
          <w:p>
            <w:r/>
            <w:r>
              <w:rPr>
                <w:rFonts w:ascii="Aptos" w:hAnsi="Aptos"/>
                <w:b w:val="0"/>
                <w:sz w:val="17"/>
              </w:rPr>
              <w:t>Policy-specific reminder setting</w:t>
            </w:r>
          </w:p>
        </w:tc>
      </w:tr>
      <w:tr>
        <w:tc>
          <w:tcPr>
            <w:tcW w:type="dxa" w:w="5083"/>
            <w:vAlign w:val="top"/>
          </w:tcPr>
          <w:p>
            <w:r/>
            <w:r>
              <w:rPr>
                <w:rFonts w:ascii="Aptos" w:hAnsi="Aptos"/>
                <w:b/>
                <w:sz w:val="17"/>
              </w:rPr>
              <w:t>Auto Reminder</w:t>
            </w:r>
          </w:p>
        </w:tc>
        <w:tc>
          <w:tcPr>
            <w:tcW w:type="dxa" w:w="5083"/>
            <w:vAlign w:val="top"/>
          </w:tcPr>
          <w:p>
            <w:r/>
            <w:r>
              <w:rPr>
                <w:rFonts w:ascii="Aptos" w:hAnsi="Aptos"/>
                <w:b w:val="0"/>
                <w:sz w:val="17"/>
              </w:rPr>
              <w:t>Yes/No</w:t>
            </w:r>
          </w:p>
        </w:tc>
      </w:tr>
      <w:tr>
        <w:tc>
          <w:tcPr>
            <w:tcW w:type="dxa" w:w="5083"/>
            <w:vAlign w:val="top"/>
          </w:tcPr>
          <w:p>
            <w:r/>
            <w:r>
              <w:rPr>
                <w:rFonts w:ascii="Aptos" w:hAnsi="Aptos"/>
                <w:b/>
                <w:sz w:val="17"/>
              </w:rPr>
              <w:t>Notes</w:t>
            </w:r>
          </w:p>
        </w:tc>
        <w:tc>
          <w:tcPr>
            <w:tcW w:type="dxa" w:w="5083"/>
            <w:vAlign w:val="top"/>
          </w:tcPr>
          <w:p>
            <w:r/>
            <w:r>
              <w:rPr>
                <w:rFonts w:ascii="Aptos" w:hAnsi="Aptos"/>
                <w:b w:val="0"/>
                <w:sz w:val="17"/>
              </w:rPr>
              <w:t>Important exclusions, servicing notes or special conditions</w:t>
            </w:r>
          </w:p>
        </w:tc>
      </w:tr>
    </w:tbl>
    <w:p>
      <w:pPr>
        <w:pStyle w:val="Heading2"/>
      </w:pPr>
      <w:r>
        <w:t>Type-specific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top"/>
            <w:shd w:fill="17365D"/>
          </w:tcPr>
          <w:p>
            <w:r/>
            <w:r>
              <w:rPr>
                <w:rFonts w:ascii="Aptos" w:hAnsi="Aptos"/>
                <w:b/>
                <w:color w:val="FFFFFF"/>
                <w:sz w:val="18"/>
              </w:rPr>
              <w:t>Insurance type</w:t>
            </w:r>
          </w:p>
        </w:tc>
        <w:tc>
          <w:tcPr>
            <w:tcW w:type="dxa" w:w="3389"/>
            <w:vAlign w:val="top"/>
            <w:shd w:fill="17365D"/>
          </w:tcPr>
          <w:p>
            <w:r/>
            <w:r>
              <w:rPr>
                <w:rFonts w:ascii="Aptos" w:hAnsi="Aptos"/>
                <w:b/>
                <w:color w:val="FFFFFF"/>
                <w:sz w:val="18"/>
              </w:rPr>
              <w:t>Additional fields</w:t>
            </w:r>
          </w:p>
        </w:tc>
        <w:tc>
          <w:tcPr>
            <w:tcW w:type="dxa" w:w="3389"/>
            <w:vAlign w:val="top"/>
            <w:shd w:fill="17365D"/>
          </w:tcPr>
          <w:p>
            <w:r/>
            <w:r>
              <w:rPr>
                <w:rFonts w:ascii="Aptos" w:hAnsi="Aptos"/>
                <w:b/>
                <w:color w:val="FFFFFF"/>
                <w:sz w:val="18"/>
              </w:rPr>
              <w:t>Example use</w:t>
            </w:r>
          </w:p>
        </w:tc>
      </w:tr>
      <w:tr>
        <w:tc>
          <w:tcPr>
            <w:tcW w:type="dxa" w:w="3389"/>
            <w:vAlign w:val="top"/>
          </w:tcPr>
          <w:p>
            <w:r/>
            <w:r>
              <w:rPr>
                <w:rFonts w:ascii="Aptos" w:hAnsi="Aptos"/>
                <w:b/>
                <w:sz w:val="17"/>
              </w:rPr>
              <w:t>Health</w:t>
            </w:r>
          </w:p>
        </w:tc>
        <w:tc>
          <w:tcPr>
            <w:tcW w:type="dxa" w:w="3389"/>
            <w:vAlign w:val="top"/>
          </w:tcPr>
          <w:p>
            <w:r/>
            <w:r>
              <w:rPr>
                <w:rFonts w:ascii="Aptos" w:hAnsi="Aptos"/>
                <w:b w:val="0"/>
                <w:sz w:val="17"/>
              </w:rPr>
              <w:t>Covered members / floater details, co-pay, room-rent limit, restoration, no-claim bonus, critical illness/add-ons.</w:t>
            </w:r>
          </w:p>
        </w:tc>
        <w:tc>
          <w:tcPr>
            <w:tcW w:type="dxa" w:w="3389"/>
            <w:vAlign w:val="top"/>
          </w:tcPr>
          <w:p>
            <w:r/>
            <w:r>
              <w:rPr>
                <w:rFonts w:ascii="Aptos" w:hAnsi="Aptos"/>
                <w:b w:val="0"/>
                <w:sz w:val="17"/>
              </w:rPr>
              <w:t>Show family coverage and renewal date.</w:t>
            </w:r>
          </w:p>
        </w:tc>
      </w:tr>
      <w:tr>
        <w:tc>
          <w:tcPr>
            <w:tcW w:type="dxa" w:w="3389"/>
            <w:vAlign w:val="top"/>
          </w:tcPr>
          <w:p>
            <w:r/>
            <w:r>
              <w:rPr>
                <w:rFonts w:ascii="Aptos" w:hAnsi="Aptos"/>
                <w:b/>
                <w:sz w:val="17"/>
              </w:rPr>
              <w:t>Vehicle</w:t>
            </w:r>
          </w:p>
        </w:tc>
        <w:tc>
          <w:tcPr>
            <w:tcW w:type="dxa" w:w="3389"/>
            <w:vAlign w:val="top"/>
          </w:tcPr>
          <w:p>
            <w:r/>
            <w:r>
              <w:rPr>
                <w:rFonts w:ascii="Aptos" w:hAnsi="Aptos"/>
                <w:b w:val="0"/>
                <w:sz w:val="17"/>
              </w:rPr>
              <w:t>Registration number, make/model, IDV, own-damage expiry, third-party expiry, zero-dep / roadside-assistance add-ons.</w:t>
            </w:r>
          </w:p>
        </w:tc>
        <w:tc>
          <w:tcPr>
            <w:tcW w:type="dxa" w:w="3389"/>
            <w:vAlign w:val="top"/>
          </w:tcPr>
          <w:p>
            <w:r/>
            <w:r>
              <w:rPr>
                <w:rFonts w:ascii="Aptos" w:hAnsi="Aptos"/>
                <w:b w:val="0"/>
                <w:sz w:val="17"/>
              </w:rPr>
              <w:t>Motor policies can have different OD and TP expiry dates.</w:t>
            </w:r>
          </w:p>
        </w:tc>
      </w:tr>
      <w:tr>
        <w:tc>
          <w:tcPr>
            <w:tcW w:type="dxa" w:w="3389"/>
            <w:vAlign w:val="top"/>
          </w:tcPr>
          <w:p>
            <w:r/>
            <w:r>
              <w:rPr>
                <w:rFonts w:ascii="Aptos" w:hAnsi="Aptos"/>
                <w:b/>
                <w:sz w:val="17"/>
              </w:rPr>
              <w:t>Home</w:t>
            </w:r>
          </w:p>
        </w:tc>
        <w:tc>
          <w:tcPr>
            <w:tcW w:type="dxa" w:w="3389"/>
            <w:vAlign w:val="top"/>
          </w:tcPr>
          <w:p>
            <w:r/>
            <w:r>
              <w:rPr>
                <w:rFonts w:ascii="Aptos" w:hAnsi="Aptos"/>
                <w:b w:val="0"/>
                <w:sz w:val="17"/>
              </w:rPr>
              <w:t>Property address, building cover, contents cover, fire/burglary/natural-calamity add-ons.</w:t>
            </w:r>
          </w:p>
        </w:tc>
        <w:tc>
          <w:tcPr>
            <w:tcW w:type="dxa" w:w="3389"/>
            <w:vAlign w:val="top"/>
          </w:tcPr>
          <w:p>
            <w:r/>
            <w:r>
              <w:rPr>
                <w:rFonts w:ascii="Aptos" w:hAnsi="Aptos"/>
                <w:b w:val="0"/>
                <w:sz w:val="17"/>
              </w:rPr>
              <w:t>Protect the property without treating the cover amount as investment value.</w:t>
            </w:r>
          </w:p>
        </w:tc>
      </w:tr>
      <w:tr>
        <w:tc>
          <w:tcPr>
            <w:tcW w:type="dxa" w:w="3389"/>
            <w:vAlign w:val="top"/>
          </w:tcPr>
          <w:p>
            <w:r/>
            <w:r>
              <w:rPr>
                <w:rFonts w:ascii="Aptos" w:hAnsi="Aptos"/>
                <w:b/>
                <w:sz w:val="17"/>
              </w:rPr>
              <w:t>Term Life</w:t>
            </w:r>
          </w:p>
        </w:tc>
        <w:tc>
          <w:tcPr>
            <w:tcW w:type="dxa" w:w="3389"/>
            <w:vAlign w:val="top"/>
          </w:tcPr>
          <w:p>
            <w:r/>
            <w:r>
              <w:rPr>
                <w:rFonts w:ascii="Aptos" w:hAnsi="Aptos"/>
                <w:b w:val="0"/>
                <w:sz w:val="17"/>
              </w:rPr>
              <w:t>Policy term, premium payment term, nominee, riders, next premium due date, final maturity/expiry date.</w:t>
            </w:r>
          </w:p>
        </w:tc>
        <w:tc>
          <w:tcPr>
            <w:tcW w:type="dxa" w:w="3389"/>
            <w:vAlign w:val="top"/>
          </w:tcPr>
          <w:p>
            <w:r/>
            <w:r>
              <w:rPr>
                <w:rFonts w:ascii="Aptos" w:hAnsi="Aptos"/>
                <w:b w:val="0"/>
                <w:sz w:val="17"/>
              </w:rPr>
              <w:t>The annual premium due date may be decades earlier than final policy expiry.</w:t>
            </w:r>
          </w:p>
        </w:tc>
      </w:tr>
      <w:tr>
        <w:tc>
          <w:tcPr>
            <w:tcW w:type="dxa" w:w="3389"/>
            <w:vAlign w:val="top"/>
          </w:tcPr>
          <w:p>
            <w:r/>
            <w:r>
              <w:rPr>
                <w:rFonts w:ascii="Aptos" w:hAnsi="Aptos"/>
                <w:b/>
                <w:sz w:val="17"/>
              </w:rPr>
              <w:t>Personal Accident / Travel / Other</w:t>
            </w:r>
          </w:p>
        </w:tc>
        <w:tc>
          <w:tcPr>
            <w:tcW w:type="dxa" w:w="3389"/>
            <w:vAlign w:val="top"/>
          </w:tcPr>
          <w:p>
            <w:r/>
            <w:r>
              <w:rPr>
                <w:rFonts w:ascii="Aptos" w:hAnsi="Aptos"/>
                <w:b w:val="0"/>
                <w:sz w:val="17"/>
              </w:rPr>
              <w:t>Coverage territory, covered persons, benefit limits, trip/period dates and policy-specific add-ons.</w:t>
            </w:r>
          </w:p>
        </w:tc>
        <w:tc>
          <w:tcPr>
            <w:tcW w:type="dxa" w:w="3389"/>
            <w:vAlign w:val="top"/>
          </w:tcPr>
          <w:p>
            <w:r/>
            <w:r>
              <w:rPr>
                <w:rFonts w:ascii="Aptos" w:hAnsi="Aptos"/>
                <w:b w:val="0"/>
                <w:sz w:val="17"/>
              </w:rPr>
              <w:t>Same core schema remains reusable.</w:t>
            </w:r>
          </w:p>
        </w:tc>
      </w:tr>
    </w:tbl>
    <w:p>
      <w:pPr>
        <w:pStyle w:val="Heading1"/>
      </w:pPr>
      <w:r>
        <w:t>5. Reminder and expiry workflow</w:t>
      </w:r>
    </w:p>
    <w:p>
      <w:r>
        <w:t>Insurance reminders should be automatic and based on both renewal/expiry dates and premium due dates. A single expiry reminder is not enough, especially for long-term life policies.</w:t>
      </w:r>
    </w:p>
    <w:p>
      <w:pPr>
        <w:pStyle w:val="ListBullet"/>
      </w:pPr>
      <w:r>
        <w:t>Default reminder sequence: 60 days, 30 days, 15 days, 7 days and 1 day before the next actionable date.</w:t>
      </w:r>
    </w:p>
    <w:p>
      <w:pPr>
        <w:pStyle w:val="ListBullet"/>
      </w:pPr>
      <w:r>
        <w:t>The policy can override the default with its own Reminder Days setting.</w:t>
      </w:r>
    </w:p>
    <w:p>
      <w:pPr>
        <w:pStyle w:val="ListBullet"/>
      </w:pPr>
      <w:r>
        <w:t>For Term/Life policies, use Next Premium Due Date for routine reminders and retain the final policy expiry separately.</w:t>
      </w:r>
    </w:p>
    <w:p>
      <w:pPr>
        <w:pStyle w:val="ListBullet"/>
      </w:pPr>
      <w:r>
        <w:t>For Motor policies, calculate reminders independently for Own Damage expiry and Third Party expiry when the dates differ.</w:t>
      </w:r>
    </w:p>
    <w:p>
      <w:pPr>
        <w:pStyle w:val="ListBullet"/>
      </w:pPr>
      <w:r>
        <w:t>For Health/Home/Travel policies, the normal annual renewal date can be the main actionable date.</w:t>
      </w:r>
    </w:p>
    <w:p>
      <w:pPr>
        <w:pStyle w:val="ListBullet"/>
      </w:pPr>
      <w:r>
        <w:t>When the due date passes without renewal, automatically mark the policy Expired/Grace Period/Lapsed according to the workflow rather than silently removing it.</w:t>
      </w:r>
    </w:p>
    <w:p>
      <w:pPr>
        <w:pStyle w:val="ListBullet"/>
      </w:pPr>
      <w:r>
        <w:t>Notify the investor and the assigned GrowVest staff member. The existing communication automation/notification framework can be reused for in-app and email reminders; other channels can be added where connected.</w:t>
      </w:r>
    </w:p>
    <w:p>
      <w:pPr>
        <w:pStyle w:val="Heading2"/>
      </w:pPr>
      <w:r>
        <w:t>Renewal history rule</w:t>
      </w:r>
    </w:p>
    <w:p>
      <w:r>
        <w:t>A renewal should never overwrite the old policy period. GrowVest should preserve each policy year/renewal as history, link the renewed policy to the previous record, and keep the old premium, cover, insurer, add-ons and documents for audit and comparison.</w:t>
      </w:r>
    </w:p>
    <w:p>
      <w:pPr>
        <w:pStyle w:val="Heading1"/>
      </w:pPr>
      <w:r>
        <w:t>6. How this should appear inside GrowVest</w:t>
      </w:r>
    </w:p>
    <w:p>
      <w:pPr>
        <w:pStyle w:val="ListBullet"/>
      </w:pPr>
      <w:r>
        <w:t>Investor Profile / Portfolio -&gt; Insurance tab with cards for Health, Term Life, Vehicle, Home and Other.</w:t>
      </w:r>
    </w:p>
    <w:p>
      <w:pPr>
        <w:pStyle w:val="ListBullet"/>
      </w:pPr>
      <w:r>
        <w:t>Top summary: Total Life Cover, Total Health Cover, Active Policies, Expiring in 30 Days and Next Premium Due.</w:t>
      </w:r>
    </w:p>
    <w:p>
      <w:pPr>
        <w:pStyle w:val="ListBullet"/>
      </w:pPr>
      <w:r>
        <w:t>Policy detail drawer/page: insurer, policy number, cover, premium, dates, nominee, type-specific fields, documents and renewal timeline.</w:t>
      </w:r>
    </w:p>
    <w:p>
      <w:pPr>
        <w:pStyle w:val="ListBullet"/>
      </w:pPr>
      <w:r>
        <w:t>Add Policy manually and Bulk Upload Insurance Excel options for Admin/Super Admin.</w:t>
      </w:r>
    </w:p>
    <w:p>
      <w:pPr>
        <w:pStyle w:val="ListBullet"/>
      </w:pPr>
      <w:r>
        <w:t>Upload policy schedule / policy document and allow secure View / Download through the same document framework.</w:t>
      </w:r>
    </w:p>
    <w:p>
      <w:pPr>
        <w:pStyle w:val="ListBullet"/>
      </w:pPr>
      <w:r>
        <w:t>Renew Policy action should create a new renewal record and preserve the prior policy period.</w:t>
      </w:r>
    </w:p>
    <w:p>
      <w:pPr>
        <w:pStyle w:val="ListBullet"/>
      </w:pPr>
      <w:r>
        <w:t>Expiring policies should also appear in an Admin/Advisor work queue so staff can follow up before the investor misses the renewal date.</w:t>
      </w:r>
    </w:p>
    <w:p>
      <w:pPr>
        <w:pStyle w:val="Heading1"/>
      </w:pPr>
      <w:r>
        <w:t>7. Recommended implementation scope</w:t>
      </w:r>
    </w:p>
    <w:p>
      <w:r>
        <w:t>The clean implementation is a dedicated insurance layer rather than forcing insurance into portfolioPositions. The investment portfolio should continue to hold financial assets, while insurance records are stored separately and surfaced in the same Investor Portfolio experience.</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17365D"/>
          </w:tcPr>
          <w:p>
            <w:r/>
            <w:r>
              <w:rPr>
                <w:rFonts w:ascii="Aptos" w:hAnsi="Aptos"/>
                <w:b/>
                <w:color w:val="FFFFFF"/>
                <w:sz w:val="18"/>
              </w:rPr>
              <w:t>Area</w:t>
            </w:r>
          </w:p>
        </w:tc>
        <w:tc>
          <w:tcPr>
            <w:tcW w:type="dxa" w:w="5083"/>
            <w:vAlign w:val="top"/>
            <w:shd w:fill="17365D"/>
          </w:tcPr>
          <w:p>
            <w:r/>
            <w:r>
              <w:rPr>
                <w:rFonts w:ascii="Aptos" w:hAnsi="Aptos"/>
                <w:b/>
                <w:color w:val="FFFFFF"/>
                <w:sz w:val="18"/>
              </w:rPr>
              <w:t>Recommended behaviour</w:t>
            </w:r>
          </w:p>
        </w:tc>
      </w:tr>
      <w:tr>
        <w:tc>
          <w:tcPr>
            <w:tcW w:type="dxa" w:w="5083"/>
            <w:vAlign w:val="top"/>
          </w:tcPr>
          <w:p>
            <w:r/>
            <w:r>
              <w:rPr>
                <w:rFonts w:ascii="Aptos" w:hAnsi="Aptos"/>
                <w:b/>
                <w:sz w:val="17"/>
              </w:rPr>
              <w:t>Data</w:t>
            </w:r>
          </w:p>
        </w:tc>
        <w:tc>
          <w:tcPr>
            <w:tcW w:type="dxa" w:w="5083"/>
            <w:vAlign w:val="top"/>
          </w:tcPr>
          <w:p>
            <w:r/>
            <w:r>
              <w:rPr>
                <w:rFonts w:ascii="Aptos" w:hAnsi="Aptos"/>
                <w:b w:val="0"/>
                <w:sz w:val="17"/>
              </w:rPr>
              <w:t>insurancePolicies + insurancePolicyRenewals (or versioned policy periods) + reminder events.</w:t>
            </w:r>
          </w:p>
        </w:tc>
      </w:tr>
      <w:tr>
        <w:tc>
          <w:tcPr>
            <w:tcW w:type="dxa" w:w="5083"/>
            <w:vAlign w:val="top"/>
          </w:tcPr>
          <w:p>
            <w:r/>
            <w:r>
              <w:rPr>
                <w:rFonts w:ascii="Aptos" w:hAnsi="Aptos"/>
                <w:b/>
                <w:sz w:val="17"/>
              </w:rPr>
              <w:t>UI</w:t>
            </w:r>
          </w:p>
        </w:tc>
        <w:tc>
          <w:tcPr>
            <w:tcW w:type="dxa" w:w="5083"/>
            <w:vAlign w:val="top"/>
          </w:tcPr>
          <w:p>
            <w:r/>
            <w:r>
              <w:rPr>
                <w:rFonts w:ascii="Aptos" w:hAnsi="Aptos"/>
                <w:b w:val="0"/>
                <w:sz w:val="17"/>
              </w:rPr>
              <w:t>Investor Insurance tab, Add/Edit Policy form, policy cards, renewal timeline, documents and filter by type/status.</w:t>
            </w:r>
          </w:p>
        </w:tc>
      </w:tr>
      <w:tr>
        <w:tc>
          <w:tcPr>
            <w:tcW w:type="dxa" w:w="5083"/>
            <w:vAlign w:val="top"/>
          </w:tcPr>
          <w:p>
            <w:r/>
            <w:r>
              <w:rPr>
                <w:rFonts w:ascii="Aptos" w:hAnsi="Aptos"/>
                <w:b/>
                <w:sz w:val="17"/>
              </w:rPr>
              <w:t>Import</w:t>
            </w:r>
          </w:p>
        </w:tc>
        <w:tc>
          <w:tcPr>
            <w:tcW w:type="dxa" w:w="5083"/>
            <w:vAlign w:val="top"/>
          </w:tcPr>
          <w:p>
            <w:r/>
            <w:r>
              <w:rPr>
                <w:rFonts w:ascii="Aptos" w:hAnsi="Aptos"/>
                <w:b w:val="0"/>
                <w:sz w:val="17"/>
              </w:rPr>
              <w:t>Single-investor insurance template first; multi-investor bulk import can follow the existing Manual Portfolio pattern.</w:t>
            </w:r>
          </w:p>
        </w:tc>
      </w:tr>
      <w:tr>
        <w:tc>
          <w:tcPr>
            <w:tcW w:type="dxa" w:w="5083"/>
            <w:vAlign w:val="top"/>
          </w:tcPr>
          <w:p>
            <w:r/>
            <w:r>
              <w:rPr>
                <w:rFonts w:ascii="Aptos" w:hAnsi="Aptos"/>
                <w:b/>
                <w:sz w:val="17"/>
              </w:rPr>
              <w:t>Automation</w:t>
            </w:r>
          </w:p>
        </w:tc>
        <w:tc>
          <w:tcPr>
            <w:tcW w:type="dxa" w:w="5083"/>
            <w:vAlign w:val="top"/>
          </w:tcPr>
          <w:p>
            <w:r/>
            <w:r>
              <w:rPr>
                <w:rFonts w:ascii="Aptos" w:hAnsi="Aptos"/>
                <w:b w:val="0"/>
                <w:sz w:val="17"/>
              </w:rPr>
              <w:t>Expiry/premium reminder jobs with 60/30/15/7/1-day defaults and policy-specific overrides.</w:t>
            </w:r>
          </w:p>
        </w:tc>
      </w:tr>
      <w:tr>
        <w:tc>
          <w:tcPr>
            <w:tcW w:type="dxa" w:w="5083"/>
            <w:vAlign w:val="top"/>
          </w:tcPr>
          <w:p>
            <w:r/>
            <w:r>
              <w:rPr>
                <w:rFonts w:ascii="Aptos" w:hAnsi="Aptos"/>
                <w:b/>
                <w:sz w:val="17"/>
              </w:rPr>
              <w:t>Security</w:t>
            </w:r>
          </w:p>
        </w:tc>
        <w:tc>
          <w:tcPr>
            <w:tcW w:type="dxa" w:w="5083"/>
            <w:vAlign w:val="top"/>
          </w:tcPr>
          <w:p>
            <w:r/>
            <w:r>
              <w:rPr>
                <w:rFonts w:ascii="Aptos" w:hAnsi="Aptos"/>
                <w:b w:val="0"/>
                <w:sz w:val="17"/>
              </w:rPr>
              <w:t>Investor sees only own policies; Admin/Super Admin can manage; advisor access follows investor assignment rules.</w:t>
            </w:r>
          </w:p>
        </w:tc>
      </w:tr>
      <w:tr>
        <w:tc>
          <w:tcPr>
            <w:tcW w:type="dxa" w:w="5083"/>
            <w:vAlign w:val="top"/>
          </w:tcPr>
          <w:p>
            <w:r/>
            <w:r>
              <w:rPr>
                <w:rFonts w:ascii="Aptos" w:hAnsi="Aptos"/>
                <w:b/>
                <w:sz w:val="17"/>
              </w:rPr>
              <w:t>Reporting</w:t>
            </w:r>
          </w:p>
        </w:tc>
        <w:tc>
          <w:tcPr>
            <w:tcW w:type="dxa" w:w="5083"/>
            <w:vAlign w:val="top"/>
          </w:tcPr>
          <w:p>
            <w:r/>
            <w:r>
              <w:rPr>
                <w:rFonts w:ascii="Aptos" w:hAnsi="Aptos"/>
                <w:b w:val="0"/>
                <w:sz w:val="17"/>
              </w:rPr>
              <w:t>Monthly report can include a Protection Snapshot section without adding insurance cover to portfolio current value.</w:t>
            </w:r>
          </w:p>
        </w:tc>
      </w:tr>
    </w:tbl>
    <w:p>
      <w:pPr>
        <w:pStyle w:val="Heading1"/>
      </w:pPr>
      <w:r>
        <w:t>8. Suggested next development sequence</w:t>
      </w:r>
    </w:p>
    <w:p>
      <w:pPr>
        <w:pStyle w:val="ListNumber"/>
      </w:pPr>
      <w:r>
        <w:t>Add Insurance Policy data model and Firestore security rules.</w:t>
      </w:r>
    </w:p>
    <w:p>
      <w:pPr>
        <w:pStyle w:val="ListNumber"/>
      </w:pPr>
      <w:r>
        <w:t>Add Insurance tab to Investor Portfolio with manual Add/Edit/Delete and secure documents.</w:t>
      </w:r>
    </w:p>
    <w:p>
      <w:pPr>
        <w:pStyle w:val="ListNumber"/>
      </w:pPr>
      <w:r>
        <w:t>Add Health, Vehicle, Home and Term Life dynamic fields.</w:t>
      </w:r>
    </w:p>
    <w:p>
      <w:pPr>
        <w:pStyle w:val="ListNumber"/>
      </w:pPr>
      <w:r>
        <w:t>Add expiry and premium reminders using the existing notification/communication framework.</w:t>
      </w:r>
    </w:p>
    <w:p>
      <w:pPr>
        <w:pStyle w:val="ListNumber"/>
      </w:pPr>
      <w:r>
        <w:t>Add the Insurance Excel preview/import workflow based on the proposed template.</w:t>
      </w:r>
    </w:p>
    <w:p>
      <w:pPr>
        <w:pStyle w:val="ListNumber"/>
      </w:pPr>
      <w:r>
        <w:t>Add insurance summary to the Monthly Report as a Protection Snapshot, clearly separated from investment value.</w:t>
      </w:r>
    </w:p>
    <w:p>
      <w:r>
        <w:rPr>
          <w:b/>
          <w:color w:val="17365D"/>
        </w:rPr>
        <w:t xml:space="preserve">Recommended product decision: </w:t>
      </w:r>
      <w:r>
        <w:t>include Insurance in the Investor Portfolio experience, but keep it financially separate from investment corpus and net portfolio value. This avoids mixing “money invested” with “protection available” while still giving the investor one complete wealth-and-protection view.</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