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SEFM-Style Reviewer Report for "rocq-piler"</w:t>
      </w:r>
    </w:p>
    <w:p>
      <w:r>
        <w:br/>
        <w:t>Recommendation: Weak Accept / Borderline Accept</w:t>
        <w:br/>
        <w:br/>
        <w:t>Summary</w:t>
        <w:br/>
        <w:br/>
        <w:t>This paper presents rocq-piler, a Rocq/Coq proof-engineering tool designed for LLM-driven</w:t>
        <w:br/>
        <w:t>proof development. The central idea is a content-addressed obligation model in which open</w:t>
        <w:br/>
        <w:t>proof goals are identified by stable hashes rather than positional references. On top of this</w:t>
        <w:br/>
        <w:t>abstraction, the system provides batch-oriented proof operations such as stratify and</w:t>
        <w:br/>
        <w:t>close admits, speculative execution, and incremental verification. The motivating use case</w:t>
        <w:br/>
        <w:t>is the discharge of residual separation-logic obligations arising from deductive verification.</w:t>
        <w:br/>
        <w:br/>
        <w:t>Strengths</w:t>
        <w:br/>
        <w:br/>
        <w:t>1. Clear conceptual contribution.</w:t>
        <w:br/>
        <w:t>The strongest aspect of the paper is the shift from positional proof interaction to</w:t>
        <w:br/>
        <w:t>content-addressed proof obligations. This is a simple idea but potentially impactful for</w:t>
        <w:br/>
        <w:t>autonomous proof agents.</w:t>
        <w:br/>
        <w:br/>
        <w:t>2. Strong motivation.</w:t>
        <w:br/>
        <w:t>The framing around the “last 20%” of obligations left by deductive verification systems is</w:t>
        <w:br/>
        <w:t>compelling and gives the work a concrete engineering purpose.</w:t>
        <w:br/>
        <w:br/>
        <w:t>3. Coherent system design.</w:t>
        <w:br/>
        <w:t>The content-addressed model, batch proof operations, speculative execution, and caching</w:t>
        <w:br/>
        <w:t>form a coherent architecture rather than a collection of unrelated features.</w:t>
        <w:br/>
        <w:br/>
        <w:t>4. Good presentation.</w:t>
        <w:br/>
        <w:t>The paper is clearly written and the core workflow is easy to understand.</w:t>
        <w:br/>
        <w:br/>
        <w:t>Weaknesses</w:t>
        <w:br/>
        <w:br/>
        <w:t>1. Insufficient evidence for the motivating claim.</w:t>
        <w:br/>
        <w:t>The paper repeatedly argues that approximately 20% of obligations remain beyond the reach</w:t>
        <w:br/>
        <w:t>of automation. However, no quantitative evidence is provided. This makes the primary</w:t>
        <w:br/>
        <w:t>motivation appear anecdotal.</w:t>
        <w:br/>
        <w:br/>
        <w:t>2. Evaluation is too limited.</w:t>
        <w:br/>
        <w:t>The experimental section is based on a single case study. While the type-preservation proof</w:t>
        <w:br/>
        <w:t>is nontrivial, a single example does not establish generality.</w:t>
        <w:br/>
        <w:br/>
        <w:t>3. Core hypothesis is not directly evaluated.</w:t>
        <w:br/>
        <w:t>The paper argues that content-addressed obligations are superior to positional proof</w:t>
        <w:br/>
        <w:t>interaction for autonomous agents. However, no comparison is presented against a positional</w:t>
        <w:br/>
        <w:t>approach, making it difficult to assess the practical value of the abstraction itself.</w:t>
        <w:br/>
        <w:br/>
        <w:t>4. Technical details of hashing are underspecified.</w:t>
        <w:br/>
        <w:t>The paper should explain precisely what is hashed and how stability is maintained under</w:t>
        <w:br/>
        <w:t>changes to proof context, naming, and formatting.</w:t>
        <w:br/>
        <w:br/>
        <w:t>Questions for the Authors</w:t>
        <w:br/>
        <w:br/>
        <w:t>- What normalization procedure is used before hashing obligations?</w:t>
        <w:br/>
        <w:t>- How frequently do duplicated goals occur in realistic developments?</w:t>
        <w:br/>
        <w:t>- Have the authors observed cases where content-addressing substantially reduced agent</w:t>
        <w:br/>
        <w:t xml:space="preserve">  failures relative to positional editing?</w:t>
        <w:br/>
        <w:t>- Can any preliminary statistics from axiomander be reported?</w:t>
        <w:br/>
        <w:br/>
        <w:t>Suggestions for Improvement</w:t>
        <w:br/>
        <w:br/>
        <w:t>1. Add quantitative evidence supporting the residual-obligation motivation.</w:t>
        <w:br/>
        <w:t>2. Include additional proofs or obligation suites.</w:t>
        <w:br/>
        <w:t>3. Add an ablation or qualitative comparison with positional proof interaction.</w:t>
        <w:br/>
        <w:t>4. Expand the discussion of the hashing mechanism and its guarantees.</w:t>
        <w:br/>
        <w:t>5. Emphasize the content-addressed obligation model as the primary scientific contribution,</w:t>
        <w:br/>
        <w:t xml:space="preserve">   with rocq-piler presented as the implementation of that idea.</w:t>
        <w:br/>
        <w:br/>
        <w:t>Overall Assessment</w:t>
        <w:br/>
        <w:br/>
        <w:t>I found the paper significantly stronger than a generic “LLM-to-Rocq bridge” paper because it</w:t>
        <w:br/>
        <w:t>articulates a clear conceptual contribution. The content-addressed obligation model and the</w:t>
        <w:br/>
        <w:t>associated batch proof operations are interesting ideas that appear well matched to agentic</w:t>
        <w:br/>
        <w:t>proof construction. However, the current evaluation is too small to fully validate the central</w:t>
        <w:br/>
        <w:t>claims. I would be inclined toward a weak accept if the venue values promising systems and</w:t>
        <w:br/>
        <w:t>novel proof-engineering abstractions, but I expect reviewers to request stronger empirical</w:t>
        <w:br/>
        <w:t>evidence in future iterations.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