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F0AA" w14:textId="6582B529" w:rsidR="00BB4204" w:rsidRPr="0072317C" w:rsidRDefault="0072317C">
      <w:pPr>
        <w:rPr>
          <w:lang w:val="en-GB"/>
        </w:rPr>
      </w:pPr>
      <w:r w:rsidRPr="0072317C">
        <w:rPr>
          <w:lang w:val="en-GB"/>
        </w:rPr>
        <w:t xml:space="preserve">Table 4.0 </w:t>
      </w:r>
      <w:r w:rsidRPr="00D83051">
        <w:rPr>
          <w:bCs/>
          <w:lang w:val="en-GB"/>
        </w:rPr>
        <w:t>Profile of the Case Companies</w:t>
      </w:r>
    </w:p>
    <w:p w14:paraId="509E4041" w14:textId="77777777" w:rsidR="0072317C" w:rsidRPr="0072317C" w:rsidRDefault="0072317C">
      <w:pPr>
        <w:rPr>
          <w:lang w:val="en-GB"/>
        </w:rPr>
      </w:pPr>
    </w:p>
    <w:tbl>
      <w:tblPr>
        <w:tblW w:w="82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2"/>
        <w:gridCol w:w="1330"/>
        <w:gridCol w:w="4083"/>
        <w:gridCol w:w="2074"/>
      </w:tblGrid>
      <w:tr w:rsidR="0072317C" w:rsidRPr="008667B6" w14:paraId="25CF9F65" w14:textId="77777777" w:rsidTr="00126070">
        <w:trPr>
          <w:trHeight w:val="254"/>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41D9AFE1"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CODE</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573D11B2"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COUNTRY</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5CDCB407"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DESCRIPTION</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9F34CA2"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SIZE OF COMPANY</w:t>
            </w:r>
          </w:p>
        </w:tc>
      </w:tr>
      <w:tr w:rsidR="0072317C" w:rsidRPr="008667B6" w14:paraId="0A5D7074" w14:textId="77777777" w:rsidTr="00126070">
        <w:trPr>
          <w:trHeight w:val="3044"/>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922B68A"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CS1</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3C1A599"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Germany</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6FAB3C7"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A multinational Aviation company that offers various software solutions to high end Aviation firms all over the world and Europe in particular to enable them make critical decisions faster and more accurately.</w:t>
            </w:r>
            <w:r w:rsidRPr="008667B6">
              <w:rPr>
                <w:rFonts w:ascii="Arial" w:hAnsi="Arial" w:cs="Arial"/>
                <w:b/>
                <w:sz w:val="18"/>
                <w:szCs w:val="18"/>
                <w:lang w:val="en-GB"/>
              </w:rPr>
              <w:t xml:space="preserve"> </w:t>
            </w:r>
            <w:r w:rsidRPr="008667B6">
              <w:rPr>
                <w:rFonts w:ascii="Arial" w:hAnsi="Arial" w:cs="Arial"/>
                <w:sz w:val="18"/>
                <w:szCs w:val="18"/>
                <w:lang w:val="en-GB"/>
              </w:rPr>
              <w:t>Their fully featured navigational and streamlined web applications features clean and simple UX and offers a single point of entry for all of their navigation web applications; which showcases how releases are swiftly deployed to meet the demands of their global customers - They examine how DevOps principles and its associated practices should be revised to take into account the requirements of operations teams in enterprises in their report.</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7ACFA0EC"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Over </w:t>
            </w:r>
            <w:r>
              <w:rPr>
                <w:rFonts w:ascii="Arial" w:hAnsi="Arial" w:cs="Arial"/>
                <w:sz w:val="18"/>
                <w:szCs w:val="18"/>
              </w:rPr>
              <w:t>1000</w:t>
            </w:r>
            <w:r w:rsidRPr="008667B6">
              <w:rPr>
                <w:rFonts w:ascii="Arial" w:hAnsi="Arial" w:cs="Arial"/>
                <w:sz w:val="18"/>
                <w:szCs w:val="18"/>
              </w:rPr>
              <w:t xml:space="preserve"> Employees</w:t>
            </w:r>
          </w:p>
        </w:tc>
      </w:tr>
      <w:tr w:rsidR="0072317C" w:rsidRPr="008667B6" w14:paraId="463F9867" w14:textId="77777777" w:rsidTr="00126070">
        <w:trPr>
          <w:trHeight w:val="1772"/>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DAFC937"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CS2</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BC709DD"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India</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DD236AE" w14:textId="77777777" w:rsidR="0072317C" w:rsidRPr="008667B6" w:rsidRDefault="0072317C" w:rsidP="00126070">
            <w:pPr>
              <w:jc w:val="both"/>
              <w:rPr>
                <w:rFonts w:ascii="Arial" w:hAnsi="Arial" w:cs="Arial"/>
                <w:sz w:val="18"/>
                <w:szCs w:val="18"/>
                <w:lang w:val="en-GB"/>
              </w:rPr>
            </w:pPr>
            <w:r w:rsidRPr="008667B6">
              <w:rPr>
                <w:rFonts w:ascii="Arial" w:hAnsi="Arial" w:cs="Arial"/>
                <w:sz w:val="18"/>
                <w:szCs w:val="18"/>
                <w:lang w:val="en-GB"/>
              </w:rPr>
              <w:t>An IT consulting corporation that develops technological solutions for the IT outsourcing services industry in fields like web apps, mobile apps, cloud strategy, analytics, and business intelligence as well as testing, quality assurance services, and Agile projects. Their DevOps adoption, implementation, practices and frameworks provide insightful inputs.</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4488916B"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Over </w:t>
            </w:r>
            <w:r>
              <w:rPr>
                <w:rFonts w:ascii="Arial" w:hAnsi="Arial" w:cs="Arial"/>
                <w:sz w:val="18"/>
                <w:szCs w:val="18"/>
              </w:rPr>
              <w:t>1500</w:t>
            </w:r>
            <w:r w:rsidRPr="008667B6">
              <w:rPr>
                <w:rFonts w:ascii="Arial" w:hAnsi="Arial" w:cs="Arial"/>
                <w:sz w:val="18"/>
                <w:szCs w:val="18"/>
              </w:rPr>
              <w:t xml:space="preserve"> Employees</w:t>
            </w:r>
          </w:p>
        </w:tc>
      </w:tr>
      <w:tr w:rsidR="0072317C" w:rsidRPr="008667B6" w14:paraId="45C7F9A5" w14:textId="77777777" w:rsidTr="00126070">
        <w:trPr>
          <w:trHeight w:val="1525"/>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0C67BCA"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CS3</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987BC17"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Uk</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574791AD"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Manufacturers of custom firmware/middleware software solutions. Expert in embedded software architecture - ultra low-power, low profile solutions constructed to withstand harsh industrial environments. In their blog post, they gave a great insight into addressing motivating issues influencing DevOps adoption.</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6FAC7316"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900</w:t>
            </w:r>
            <w:r w:rsidRPr="008667B6">
              <w:rPr>
                <w:rFonts w:ascii="Arial" w:hAnsi="Arial" w:cs="Arial"/>
                <w:sz w:val="18"/>
                <w:szCs w:val="18"/>
              </w:rPr>
              <w:t xml:space="preserve"> Employees</w:t>
            </w:r>
          </w:p>
        </w:tc>
      </w:tr>
      <w:tr w:rsidR="0072317C" w:rsidRPr="008667B6" w14:paraId="40B501F0" w14:textId="77777777" w:rsidTr="00126070">
        <w:trPr>
          <w:trHeight w:val="1772"/>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3C10317"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CS4</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EA03C28"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USA</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430AA37"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A firm that operates in the global market offering services for streaming movies, TV series and games over the internet. They freely peer with ISPs to cache their content within the data centres to reduce transit cost. They develop public APIs used to access their services.  Their annual report stresses how agile enables DevOps. Provides pragmatic insights on how DevOps extend Agile in terms of principles.</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79FED818" w14:textId="77777777" w:rsidR="0072317C" w:rsidRPr="008667B6" w:rsidRDefault="0072317C" w:rsidP="00126070">
            <w:pPr>
              <w:pBdr>
                <w:top w:val="nil"/>
                <w:left w:val="nil"/>
                <w:bottom w:val="nil"/>
                <w:right w:val="nil"/>
                <w:between w:val="nil"/>
              </w:pBdr>
              <w:jc w:val="both"/>
              <w:rPr>
                <w:rFonts w:ascii="Arial" w:hAnsi="Arial" w:cs="Arial"/>
                <w:sz w:val="18"/>
                <w:szCs w:val="18"/>
              </w:rPr>
            </w:pPr>
            <w:r w:rsidRPr="008667B6">
              <w:rPr>
                <w:rFonts w:ascii="Arial" w:hAnsi="Arial" w:cs="Arial"/>
                <w:sz w:val="18"/>
                <w:szCs w:val="18"/>
              </w:rPr>
              <w:t xml:space="preserve">Over </w:t>
            </w:r>
            <w:r>
              <w:rPr>
                <w:rFonts w:ascii="Arial" w:hAnsi="Arial" w:cs="Arial"/>
                <w:sz w:val="18"/>
                <w:szCs w:val="18"/>
              </w:rPr>
              <w:t>500</w:t>
            </w:r>
            <w:r w:rsidRPr="008667B6">
              <w:rPr>
                <w:rFonts w:ascii="Arial" w:hAnsi="Arial" w:cs="Arial"/>
                <w:sz w:val="18"/>
                <w:szCs w:val="18"/>
              </w:rPr>
              <w:t xml:space="preserve"> Employees</w:t>
            </w:r>
          </w:p>
        </w:tc>
      </w:tr>
      <w:tr w:rsidR="0072317C" w:rsidRPr="008667B6" w14:paraId="7D1B557F" w14:textId="77777777" w:rsidTr="00126070">
        <w:trPr>
          <w:trHeight w:val="1017"/>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7B181958"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CS5</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669137E8"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Canada</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6C1AB1B2"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 xml:space="preserve">A third-party cloud service provider offering technology infrastructures based on public, private, hybrid cloud, and multi-cloud.  An intriguing report that explores the industry perspective of DevOps adoption. </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571FE183"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700</w:t>
            </w:r>
            <w:r w:rsidRPr="008667B6">
              <w:rPr>
                <w:rFonts w:ascii="Arial" w:hAnsi="Arial" w:cs="Arial"/>
                <w:sz w:val="18"/>
                <w:szCs w:val="18"/>
              </w:rPr>
              <w:t xml:space="preserve"> Employees</w:t>
            </w:r>
          </w:p>
        </w:tc>
      </w:tr>
      <w:tr w:rsidR="0072317C" w:rsidRPr="008667B6" w14:paraId="375A02F2" w14:textId="77777777" w:rsidTr="00126070">
        <w:trPr>
          <w:trHeight w:val="2033"/>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CABF375"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lastRenderedPageBreak/>
              <w:t>CS6</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0BA78EF9" w14:textId="77777777" w:rsidR="0072317C" w:rsidRPr="008667B6" w:rsidRDefault="0072317C" w:rsidP="00126070">
            <w:pPr>
              <w:pBdr>
                <w:top w:val="nil"/>
                <w:left w:val="nil"/>
                <w:bottom w:val="nil"/>
                <w:right w:val="nil"/>
                <w:between w:val="nil"/>
              </w:pBdr>
              <w:jc w:val="both"/>
              <w:rPr>
                <w:rFonts w:ascii="Arial" w:hAnsi="Arial" w:cs="Arial"/>
                <w:sz w:val="18"/>
                <w:szCs w:val="18"/>
              </w:rPr>
            </w:pPr>
            <w:r w:rsidRPr="008667B6">
              <w:rPr>
                <w:rFonts w:ascii="Arial" w:hAnsi="Arial" w:cs="Arial"/>
                <w:sz w:val="18"/>
                <w:szCs w:val="18"/>
              </w:rPr>
              <w:t>Brazil</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624942A"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Offers a web hosting software solution and services for building, hosting and managing blogs, websites and webapps in the cloud.  With a focus on the sharing of technological knowledge, product developers, project managers, and other software development teams are served by this Brazilian software company. In their news release, they highlight significant findings from DevOps Drivers and adoption Challenges.</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3454E175"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 xml:space="preserve">300 </w:t>
            </w:r>
            <w:r w:rsidRPr="008667B6">
              <w:rPr>
                <w:rFonts w:ascii="Arial" w:hAnsi="Arial" w:cs="Arial"/>
                <w:sz w:val="18"/>
                <w:szCs w:val="18"/>
              </w:rPr>
              <w:t>Employees</w:t>
            </w:r>
          </w:p>
        </w:tc>
      </w:tr>
      <w:tr w:rsidR="0072317C" w:rsidRPr="008667B6" w14:paraId="413A8BEF" w14:textId="77777777" w:rsidTr="00126070">
        <w:trPr>
          <w:trHeight w:val="2281"/>
        </w:trPr>
        <w:tc>
          <w:tcPr>
            <w:tcW w:w="782"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32FD5A8"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CS7</w:t>
            </w:r>
          </w:p>
        </w:tc>
        <w:tc>
          <w:tcPr>
            <w:tcW w:w="1330"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2D245C68"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Australia</w:t>
            </w:r>
          </w:p>
        </w:tc>
        <w:tc>
          <w:tcPr>
            <w:tcW w:w="4083"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66F9DB78"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This IT consulting firm does research and development and produces reliable Big Data solutions and technologies. Customers and end users of the case company are given the power to make important decisions more quickly and accurately by virtue of the case company's big data capability. The company is made up of numerous teams engaged in diverse R&amp;D initiatives. In their press release, they demonstrate how   automation processes can be implemented by following DevOps best practice</w:t>
            </w:r>
          </w:p>
        </w:tc>
        <w:tc>
          <w:tcPr>
            <w:tcW w:w="2074" w:type="dxa"/>
            <w:tcBorders>
              <w:top w:val="single" w:sz="8" w:space="0" w:color="4472C4"/>
              <w:left w:val="single" w:sz="8" w:space="0" w:color="4472C4"/>
              <w:bottom w:val="single" w:sz="8" w:space="0" w:color="4472C4"/>
              <w:right w:val="single" w:sz="8" w:space="0" w:color="4472C4"/>
            </w:tcBorders>
            <w:shd w:val="clear" w:color="auto" w:fill="auto"/>
            <w:tcMar>
              <w:top w:w="100" w:type="dxa"/>
              <w:left w:w="100" w:type="dxa"/>
              <w:bottom w:w="100" w:type="dxa"/>
              <w:right w:w="100" w:type="dxa"/>
            </w:tcMar>
          </w:tcPr>
          <w:p w14:paraId="1A6574B2"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250</w:t>
            </w:r>
            <w:r w:rsidRPr="008667B6">
              <w:rPr>
                <w:rFonts w:ascii="Arial" w:hAnsi="Arial" w:cs="Arial"/>
                <w:sz w:val="18"/>
                <w:szCs w:val="18"/>
              </w:rPr>
              <w:t xml:space="preserve"> Employees</w:t>
            </w:r>
          </w:p>
        </w:tc>
      </w:tr>
      <w:tr w:rsidR="0072317C" w:rsidRPr="008667B6" w14:paraId="05DC527F" w14:textId="77777777" w:rsidTr="00126070">
        <w:trPr>
          <w:trHeight w:val="2534"/>
        </w:trPr>
        <w:tc>
          <w:tcPr>
            <w:tcW w:w="782" w:type="dxa"/>
            <w:tcBorders>
              <w:top w:val="single" w:sz="8" w:space="0" w:color="4472C4"/>
              <w:left w:val="single" w:sz="8" w:space="0" w:color="4472C4"/>
              <w:bottom w:val="single" w:sz="8" w:space="0" w:color="0070C0"/>
              <w:right w:val="single" w:sz="8" w:space="0" w:color="4472C4"/>
            </w:tcBorders>
            <w:shd w:val="clear" w:color="auto" w:fill="auto"/>
            <w:tcMar>
              <w:top w:w="100" w:type="dxa"/>
              <w:left w:w="100" w:type="dxa"/>
              <w:bottom w:w="100" w:type="dxa"/>
              <w:right w:w="100" w:type="dxa"/>
            </w:tcMar>
          </w:tcPr>
          <w:p w14:paraId="7E171D4C"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CS8</w:t>
            </w:r>
          </w:p>
        </w:tc>
        <w:tc>
          <w:tcPr>
            <w:tcW w:w="1330" w:type="dxa"/>
            <w:tcBorders>
              <w:top w:val="single" w:sz="8" w:space="0" w:color="4472C4"/>
              <w:left w:val="single" w:sz="8" w:space="0" w:color="4472C4"/>
              <w:bottom w:val="single" w:sz="8" w:space="0" w:color="0070C0"/>
              <w:right w:val="single" w:sz="8" w:space="0" w:color="4472C4"/>
            </w:tcBorders>
            <w:shd w:val="clear" w:color="auto" w:fill="auto"/>
            <w:tcMar>
              <w:top w:w="100" w:type="dxa"/>
              <w:left w:w="100" w:type="dxa"/>
              <w:bottom w:w="100" w:type="dxa"/>
              <w:right w:w="100" w:type="dxa"/>
            </w:tcMar>
          </w:tcPr>
          <w:p w14:paraId="57CBE5C4"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China</w:t>
            </w:r>
          </w:p>
        </w:tc>
        <w:tc>
          <w:tcPr>
            <w:tcW w:w="4083" w:type="dxa"/>
            <w:tcBorders>
              <w:top w:val="single" w:sz="8" w:space="0" w:color="4472C4"/>
              <w:left w:val="single" w:sz="8" w:space="0" w:color="4472C4"/>
              <w:bottom w:val="single" w:sz="8" w:space="0" w:color="0070C0"/>
              <w:right w:val="single" w:sz="8" w:space="0" w:color="4472C4"/>
            </w:tcBorders>
            <w:shd w:val="clear" w:color="auto" w:fill="auto"/>
            <w:tcMar>
              <w:top w:w="100" w:type="dxa"/>
              <w:left w:w="100" w:type="dxa"/>
              <w:bottom w:w="100" w:type="dxa"/>
              <w:right w:w="100" w:type="dxa"/>
            </w:tcMar>
          </w:tcPr>
          <w:p w14:paraId="443A8577"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 xml:space="preserve">An AI based Robotic Engineering firm that specialises in designing and building robots.  They design and develop control system </w:t>
            </w:r>
            <w:proofErr w:type="spellStart"/>
            <w:r w:rsidRPr="008667B6">
              <w:rPr>
                <w:rFonts w:ascii="Arial" w:hAnsi="Arial" w:cs="Arial"/>
                <w:sz w:val="18"/>
                <w:szCs w:val="18"/>
                <w:lang w:val="en-GB"/>
              </w:rPr>
              <w:t>softwares</w:t>
            </w:r>
            <w:proofErr w:type="spellEnd"/>
            <w:r w:rsidRPr="008667B6">
              <w:rPr>
                <w:rFonts w:ascii="Arial" w:hAnsi="Arial" w:cs="Arial"/>
                <w:sz w:val="18"/>
                <w:szCs w:val="18"/>
                <w:lang w:val="en-GB"/>
              </w:rPr>
              <w:t xml:space="preserve"> and conduct research to expand the potential of robots so that solutions are delivered pretty much in real-time - offering consulting services to help companies adjust their development teams and integrate new practices and technologies. Their report explores DevOps principles, practices, models and frameworks enabling DevOps adoption needs of operations teams in organisations.</w:t>
            </w:r>
          </w:p>
        </w:tc>
        <w:tc>
          <w:tcPr>
            <w:tcW w:w="2074" w:type="dxa"/>
            <w:tcBorders>
              <w:top w:val="single" w:sz="8" w:space="0" w:color="4472C4"/>
              <w:left w:val="single" w:sz="8" w:space="0" w:color="4472C4"/>
              <w:bottom w:val="single" w:sz="8" w:space="0" w:color="0070C0"/>
              <w:right w:val="single" w:sz="8" w:space="0" w:color="4472C4"/>
            </w:tcBorders>
            <w:shd w:val="clear" w:color="auto" w:fill="auto"/>
            <w:tcMar>
              <w:top w:w="100" w:type="dxa"/>
              <w:left w:w="100" w:type="dxa"/>
              <w:bottom w:w="100" w:type="dxa"/>
              <w:right w:w="100" w:type="dxa"/>
            </w:tcMar>
          </w:tcPr>
          <w:p w14:paraId="141F0A56"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820</w:t>
            </w:r>
            <w:r w:rsidRPr="008667B6">
              <w:rPr>
                <w:rFonts w:ascii="Arial" w:hAnsi="Arial" w:cs="Arial"/>
                <w:sz w:val="18"/>
                <w:szCs w:val="18"/>
              </w:rPr>
              <w:t xml:space="preserve">  Employees</w:t>
            </w:r>
          </w:p>
        </w:tc>
      </w:tr>
      <w:tr w:rsidR="0072317C" w:rsidRPr="008667B6" w14:paraId="00A3E90F" w14:textId="77777777" w:rsidTr="00126070">
        <w:trPr>
          <w:trHeight w:val="1270"/>
        </w:trPr>
        <w:tc>
          <w:tcPr>
            <w:tcW w:w="782"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70559006"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CS9</w:t>
            </w:r>
          </w:p>
        </w:tc>
        <w:tc>
          <w:tcPr>
            <w:tcW w:w="1330"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1D8337BC"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UAE</w:t>
            </w:r>
          </w:p>
        </w:tc>
        <w:tc>
          <w:tcPr>
            <w:tcW w:w="4083"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4DFDDD05" w14:textId="77777777" w:rsidR="0072317C" w:rsidRPr="008667B6" w:rsidRDefault="0072317C" w:rsidP="00126070">
            <w:pPr>
              <w:pBdr>
                <w:top w:val="nil"/>
                <w:left w:val="nil"/>
                <w:bottom w:val="nil"/>
                <w:right w:val="nil"/>
                <w:between w:val="nil"/>
              </w:pBdr>
              <w:jc w:val="both"/>
              <w:rPr>
                <w:rFonts w:ascii="Arial" w:hAnsi="Arial" w:cs="Arial"/>
                <w:b/>
                <w:sz w:val="18"/>
                <w:szCs w:val="18"/>
                <w:lang w:val="en-GB"/>
              </w:rPr>
            </w:pPr>
            <w:r w:rsidRPr="008667B6">
              <w:rPr>
                <w:rFonts w:ascii="Arial" w:hAnsi="Arial" w:cs="Arial"/>
                <w:sz w:val="18"/>
                <w:szCs w:val="18"/>
                <w:lang w:val="en-GB"/>
              </w:rPr>
              <w:t>A firm that develops technological solutions for the public and educational sector while relying on the application of the DevOps paradigm of collaborative culture and continuous feedback loop. In order to integrate people, tools and processes for the delivery of a continuous value chain to their customers, it embraces the Information Systems Research Framework proposed by Hevner, March, Park, and Ram (2004). Their article explores the change-driven management approach and looks at how DevOps and Agile address this challenge</w:t>
            </w:r>
            <w:r w:rsidRPr="008667B6">
              <w:rPr>
                <w:rFonts w:ascii="Arial" w:hAnsi="Arial" w:cs="Arial"/>
                <w:b/>
                <w:sz w:val="18"/>
                <w:szCs w:val="18"/>
                <w:lang w:val="en-GB"/>
              </w:rPr>
              <w:t>.</w:t>
            </w:r>
          </w:p>
        </w:tc>
        <w:tc>
          <w:tcPr>
            <w:tcW w:w="2074"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1F14EBB9" w14:textId="77777777" w:rsidR="0072317C" w:rsidRPr="008667B6" w:rsidRDefault="0072317C" w:rsidP="00126070">
            <w:pPr>
              <w:pBdr>
                <w:top w:val="nil"/>
                <w:left w:val="nil"/>
                <w:bottom w:val="nil"/>
                <w:right w:val="nil"/>
                <w:between w:val="nil"/>
              </w:pBdr>
              <w:rPr>
                <w:rFonts w:ascii="Arial" w:hAnsi="Arial" w:cs="Arial"/>
                <w:sz w:val="18"/>
                <w:szCs w:val="18"/>
              </w:rPr>
            </w:pPr>
            <w:r w:rsidRPr="008667B6">
              <w:rPr>
                <w:rFonts w:ascii="Arial" w:hAnsi="Arial" w:cs="Arial"/>
                <w:sz w:val="18"/>
                <w:szCs w:val="18"/>
              </w:rPr>
              <w:t xml:space="preserve">About </w:t>
            </w:r>
            <w:r>
              <w:rPr>
                <w:rFonts w:ascii="Arial" w:hAnsi="Arial" w:cs="Arial"/>
                <w:sz w:val="18"/>
                <w:szCs w:val="18"/>
              </w:rPr>
              <w:t>180</w:t>
            </w:r>
            <w:r w:rsidRPr="008667B6">
              <w:rPr>
                <w:rFonts w:ascii="Arial" w:hAnsi="Arial" w:cs="Arial"/>
                <w:sz w:val="18"/>
                <w:szCs w:val="18"/>
              </w:rPr>
              <w:t xml:space="preserve"> Employees</w:t>
            </w:r>
          </w:p>
        </w:tc>
      </w:tr>
      <w:tr w:rsidR="0072317C" w:rsidRPr="008667B6" w14:paraId="1A55129A" w14:textId="77777777" w:rsidTr="00126070">
        <w:trPr>
          <w:trHeight w:val="1009"/>
        </w:trPr>
        <w:tc>
          <w:tcPr>
            <w:tcW w:w="782"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2B30978D" w14:textId="77777777" w:rsidR="0072317C" w:rsidRPr="008667B6" w:rsidRDefault="0072317C" w:rsidP="00126070">
            <w:pPr>
              <w:pBdr>
                <w:top w:val="nil"/>
                <w:left w:val="nil"/>
                <w:bottom w:val="nil"/>
                <w:right w:val="nil"/>
                <w:between w:val="nil"/>
              </w:pBdr>
              <w:rPr>
                <w:rFonts w:ascii="Arial" w:hAnsi="Arial" w:cs="Arial"/>
                <w:b/>
                <w:sz w:val="18"/>
                <w:szCs w:val="18"/>
              </w:rPr>
            </w:pPr>
            <w:r w:rsidRPr="008667B6">
              <w:rPr>
                <w:rFonts w:ascii="Arial" w:hAnsi="Arial" w:cs="Arial"/>
                <w:b/>
                <w:sz w:val="18"/>
                <w:szCs w:val="18"/>
              </w:rPr>
              <w:t>CS10</w:t>
            </w:r>
          </w:p>
        </w:tc>
        <w:tc>
          <w:tcPr>
            <w:tcW w:w="1330"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0232D16C" w14:textId="77777777" w:rsidR="0072317C" w:rsidRPr="008667B6" w:rsidRDefault="0072317C" w:rsidP="00126070">
            <w:pPr>
              <w:rPr>
                <w:rFonts w:ascii="Arial" w:hAnsi="Arial" w:cs="Arial"/>
                <w:sz w:val="18"/>
                <w:szCs w:val="18"/>
              </w:rPr>
            </w:pPr>
            <w:r w:rsidRPr="008667B6">
              <w:rPr>
                <w:rFonts w:ascii="Arial" w:hAnsi="Arial" w:cs="Arial"/>
                <w:sz w:val="18"/>
                <w:szCs w:val="18"/>
              </w:rPr>
              <w:t>South Africa</w:t>
            </w:r>
          </w:p>
        </w:tc>
        <w:tc>
          <w:tcPr>
            <w:tcW w:w="4083"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7298C900" w14:textId="77777777" w:rsidR="0072317C" w:rsidRPr="008667B6" w:rsidRDefault="0072317C" w:rsidP="00126070">
            <w:pPr>
              <w:pBdr>
                <w:top w:val="nil"/>
                <w:left w:val="nil"/>
                <w:bottom w:val="nil"/>
                <w:right w:val="nil"/>
                <w:between w:val="nil"/>
              </w:pBdr>
              <w:jc w:val="both"/>
              <w:rPr>
                <w:rFonts w:ascii="Arial" w:hAnsi="Arial" w:cs="Arial"/>
                <w:sz w:val="18"/>
                <w:szCs w:val="18"/>
                <w:lang w:val="en-GB"/>
              </w:rPr>
            </w:pPr>
            <w:r w:rsidRPr="008667B6">
              <w:rPr>
                <w:rFonts w:ascii="Arial" w:hAnsi="Arial" w:cs="Arial"/>
                <w:sz w:val="18"/>
                <w:szCs w:val="18"/>
                <w:lang w:val="en-GB"/>
              </w:rPr>
              <w:t>Company that operates mainly in the African market providing captivating scalable web-based payment solutions. Their article looks at the benefits of DevOps adoption in Small and medium sized companies.</w:t>
            </w:r>
          </w:p>
        </w:tc>
        <w:tc>
          <w:tcPr>
            <w:tcW w:w="2074" w:type="dxa"/>
            <w:tcBorders>
              <w:top w:val="single" w:sz="8" w:space="0" w:color="0070C0"/>
              <w:left w:val="single" w:sz="8" w:space="0" w:color="0070C0"/>
              <w:bottom w:val="single" w:sz="8" w:space="0" w:color="0070C0"/>
              <w:right w:val="single" w:sz="8" w:space="0" w:color="0070C0"/>
            </w:tcBorders>
            <w:shd w:val="clear" w:color="auto" w:fill="auto"/>
            <w:tcMar>
              <w:top w:w="100" w:type="dxa"/>
              <w:left w:w="100" w:type="dxa"/>
              <w:bottom w:w="100" w:type="dxa"/>
              <w:right w:w="100" w:type="dxa"/>
            </w:tcMar>
          </w:tcPr>
          <w:p w14:paraId="6A64065D" w14:textId="77777777" w:rsidR="0072317C" w:rsidRPr="008667B6" w:rsidRDefault="0072317C" w:rsidP="00126070">
            <w:pPr>
              <w:pBdr>
                <w:top w:val="nil"/>
                <w:left w:val="nil"/>
                <w:bottom w:val="nil"/>
                <w:right w:val="nil"/>
                <w:between w:val="nil"/>
              </w:pBdr>
              <w:rPr>
                <w:rFonts w:ascii="Arial" w:hAnsi="Arial" w:cs="Arial"/>
                <w:sz w:val="18"/>
                <w:szCs w:val="18"/>
              </w:rPr>
            </w:pPr>
            <w:r>
              <w:rPr>
                <w:rFonts w:ascii="Arial" w:hAnsi="Arial" w:cs="Arial"/>
                <w:sz w:val="18"/>
                <w:szCs w:val="18"/>
              </w:rPr>
              <w:t xml:space="preserve">Over 500 </w:t>
            </w:r>
            <w:r w:rsidRPr="008667B6">
              <w:rPr>
                <w:rFonts w:ascii="Arial" w:hAnsi="Arial" w:cs="Arial"/>
                <w:sz w:val="18"/>
                <w:szCs w:val="18"/>
              </w:rPr>
              <w:t>Employees</w:t>
            </w:r>
          </w:p>
        </w:tc>
      </w:tr>
    </w:tbl>
    <w:p w14:paraId="2F2BE414" w14:textId="77777777" w:rsidR="0072317C" w:rsidRDefault="0072317C"/>
    <w:sectPr w:rsidR="0072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7C"/>
    <w:rsid w:val="0072317C"/>
    <w:rsid w:val="00AC3BBD"/>
    <w:rsid w:val="00BB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64A0"/>
  <w15:chartTrackingRefBased/>
  <w15:docId w15:val="{A2060916-A637-4504-9B21-7A7EFDE7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7C"/>
    <w:pPr>
      <w:spacing w:after="0" w:line="276" w:lineRule="auto"/>
    </w:pPr>
    <w:rPr>
      <w:rFonts w:ascii="Calibri" w:eastAsia="Calibri" w:hAnsi="Calibri" w:cs="Times New Roman"/>
      <w:kern w:val="0"/>
      <w:lang w:val="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Imeh Akpan</dc:creator>
  <cp:keywords/>
  <dc:description/>
  <cp:lastModifiedBy>Outlook© account team</cp:lastModifiedBy>
  <cp:revision>1</cp:revision>
  <dcterms:created xsi:type="dcterms:W3CDTF">2023-10-28T14:16:00Z</dcterms:created>
  <dcterms:modified xsi:type="dcterms:W3CDTF">2023-10-28T14:20:00Z</dcterms:modified>
</cp:coreProperties>
</file>