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A737E">
      <w:pPr>
        <w:snapToGrid w:val="0"/>
        <w:jc w:val="center"/>
        <w:rPr>
          <w:b/>
          <w:sz w:val="32"/>
          <w:szCs w:val="32"/>
        </w:rPr>
      </w:pPr>
      <w:r>
        <w:rPr>
          <w:rFonts w:hint="eastAsia" w:eastAsia="黑体"/>
          <w:b/>
          <w:sz w:val="32"/>
          <w:szCs w:val="32"/>
        </w:rPr>
        <w:t>江苏大学本科生毕业论文（设计）开题报告</w:t>
      </w:r>
    </w:p>
    <w:p w14:paraId="6C01D4F9">
      <w:pPr>
        <w:snapToGrid w:val="0"/>
        <w:spacing w:before="100" w:beforeAutospacing="1" w:after="156" w:afterLines="50"/>
        <w:ind w:left="15" w:leftChars="-171" w:hanging="374" w:hangingChars="156"/>
        <w:jc w:val="center"/>
        <w:rPr>
          <w:rFonts w:hint="eastAsia" w:ascii="宋体" w:hAnsi="宋体"/>
          <w:sz w:val="24"/>
        </w:rPr>
      </w:pPr>
      <w:r>
        <w:rPr>
          <w:rFonts w:hint="eastAsia" w:ascii="宋体" w:hAnsi="宋体"/>
          <w:sz w:val="24"/>
        </w:rPr>
        <w:t>学院：</w:t>
      </w:r>
      <w:r>
        <w:rPr>
          <w:rFonts w:hint="eastAsia" w:ascii="宋体" w:hAnsi="宋体"/>
          <w:sz w:val="24"/>
          <w:u w:val="single"/>
        </w:rPr>
        <w:t xml:space="preserve">  </w:t>
      </w:r>
      <w:bookmarkStart w:id="0" w:name="xyname"/>
      <w:bookmarkEnd w:id="0"/>
      <w:r>
        <w:rPr>
          <w:rFonts w:hint="eastAsia" w:ascii="宋体" w:hAnsi="宋体"/>
          <w:sz w:val="24"/>
          <w:u w:val="single"/>
        </w:rPr>
        <w:t xml:space="preserve">计算机科学与通信工程学院    </w:t>
      </w:r>
      <w:r>
        <w:rPr>
          <w:rFonts w:hint="eastAsia" w:ascii="宋体" w:hAnsi="宋体"/>
          <w:sz w:val="24"/>
        </w:rPr>
        <w:t xml:space="preserve"> 专业：</w:t>
      </w:r>
      <w:r>
        <w:rPr>
          <w:rFonts w:hint="eastAsia" w:ascii="宋体" w:hAnsi="宋体"/>
          <w:sz w:val="24"/>
          <w:u w:val="single"/>
        </w:rPr>
        <w:t xml:space="preserve">  信息安全   </w:t>
      </w:r>
      <w:r>
        <w:rPr>
          <w:rFonts w:hint="eastAsia" w:ascii="宋体" w:hAnsi="宋体"/>
          <w:sz w:val="24"/>
        </w:rPr>
        <w:t xml:space="preserve"> </w:t>
      </w:r>
    </w:p>
    <w:p w14:paraId="7EF01942">
      <w:pPr>
        <w:snapToGrid w:val="0"/>
        <w:spacing w:before="100" w:beforeAutospacing="1" w:after="156" w:afterLines="50"/>
        <w:ind w:left="15" w:leftChars="-171" w:hanging="374" w:hangingChars="156"/>
        <w:jc w:val="center"/>
      </w:pPr>
      <w:r>
        <w:rPr>
          <w:rFonts w:hint="eastAsia" w:ascii="宋体" w:hAnsi="宋体"/>
          <w:sz w:val="24"/>
        </w:rPr>
        <w:t>学号：</w:t>
      </w:r>
      <w:r>
        <w:rPr>
          <w:rFonts w:hint="eastAsia" w:ascii="宋体" w:hAnsi="宋体"/>
          <w:sz w:val="24"/>
          <w:u w:val="single"/>
        </w:rPr>
        <w:t xml:space="preserve"> 322</w:t>
      </w:r>
      <w:bookmarkStart w:id="1" w:name="xsxh"/>
      <w:bookmarkEnd w:id="1"/>
      <w:r>
        <w:rPr>
          <w:rFonts w:hint="eastAsia" w:ascii="宋体" w:hAnsi="宋体"/>
          <w:sz w:val="24"/>
          <w:u w:val="single"/>
          <w:lang w:val="en-US" w:eastAsia="zh-CN"/>
        </w:rPr>
        <w:t>1306066</w:t>
      </w:r>
      <w:r>
        <w:rPr>
          <w:rFonts w:hint="eastAsia" w:ascii="宋体" w:hAnsi="宋体"/>
          <w:sz w:val="24"/>
          <w:u w:val="single"/>
        </w:rPr>
        <w:t xml:space="preserve"> </w:t>
      </w:r>
      <w:r>
        <w:rPr>
          <w:rFonts w:hint="eastAsia" w:ascii="宋体" w:hAnsi="宋体"/>
          <w:sz w:val="24"/>
        </w:rPr>
        <w:t xml:space="preserve"> 年级：</w:t>
      </w:r>
      <w:r>
        <w:rPr>
          <w:rFonts w:hint="eastAsia" w:ascii="宋体" w:hAnsi="宋体"/>
          <w:sz w:val="24"/>
          <w:u w:val="single"/>
        </w:rPr>
        <w:t xml:space="preserve"> 信息安全220</w:t>
      </w:r>
      <w:r>
        <w:rPr>
          <w:rFonts w:hint="eastAsia" w:ascii="宋体" w:hAnsi="宋体"/>
          <w:sz w:val="24"/>
          <w:u w:val="single"/>
          <w:lang w:val="en-US" w:eastAsia="zh-CN"/>
        </w:rPr>
        <w:t>2</w:t>
      </w:r>
      <w:r>
        <w:rPr>
          <w:rFonts w:hint="eastAsia" w:ascii="宋体" w:hAnsi="宋体"/>
          <w:sz w:val="24"/>
          <w:u w:val="single"/>
        </w:rPr>
        <w:t xml:space="preserve"> </w:t>
      </w:r>
      <w:bookmarkStart w:id="2" w:name="grade"/>
      <w:bookmarkEnd w:id="2"/>
      <w:r>
        <w:rPr>
          <w:rFonts w:hint="eastAsia" w:ascii="宋体" w:hAnsi="宋体"/>
          <w:sz w:val="24"/>
          <w:u w:val="single"/>
        </w:rPr>
        <w:t xml:space="preserve">   </w:t>
      </w:r>
    </w:p>
    <w:tbl>
      <w:tblPr>
        <w:tblStyle w:val="7"/>
        <w:tblW w:w="9474"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autofit"/>
        <w:tblCellMar>
          <w:top w:w="0" w:type="dxa"/>
          <w:left w:w="108" w:type="dxa"/>
          <w:bottom w:w="0" w:type="dxa"/>
          <w:right w:w="108" w:type="dxa"/>
        </w:tblCellMar>
      </w:tblPr>
      <w:tblGrid>
        <w:gridCol w:w="3156"/>
        <w:gridCol w:w="2205"/>
        <w:gridCol w:w="2333"/>
        <w:gridCol w:w="1780"/>
      </w:tblGrid>
      <w:tr w14:paraId="4B00295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99" w:hRule="atLeast"/>
          <w:jc w:val="center"/>
        </w:trPr>
        <w:tc>
          <w:tcPr>
            <w:tcW w:w="3156" w:type="dxa"/>
            <w:tcBorders>
              <w:top w:val="single" w:color="auto" w:sz="8" w:space="0"/>
              <w:left w:val="single" w:color="auto" w:sz="8" w:space="0"/>
              <w:bottom w:val="single" w:color="auto" w:sz="6" w:space="0"/>
              <w:right w:val="single" w:color="auto" w:sz="6" w:space="0"/>
            </w:tcBorders>
            <w:vAlign w:val="center"/>
          </w:tcPr>
          <w:p w14:paraId="0A6377B5">
            <w:pPr>
              <w:jc w:val="both"/>
              <w:rPr>
                <w:szCs w:val="21"/>
              </w:rPr>
            </w:pPr>
            <w:r>
              <w:rPr>
                <w:rFonts w:hint="eastAsia" w:ascii="宋体" w:hAnsi="宋体"/>
                <w:sz w:val="24"/>
              </w:rPr>
              <w:t>学 生 姓 名</w:t>
            </w:r>
          </w:p>
        </w:tc>
        <w:tc>
          <w:tcPr>
            <w:tcW w:w="2205" w:type="dxa"/>
            <w:tcBorders>
              <w:top w:val="single" w:color="auto" w:sz="8" w:space="0"/>
              <w:left w:val="single" w:color="auto" w:sz="6" w:space="0"/>
              <w:bottom w:val="single" w:color="auto" w:sz="6" w:space="0"/>
              <w:right w:val="single" w:color="auto" w:sz="6" w:space="0"/>
            </w:tcBorders>
            <w:vAlign w:val="center"/>
          </w:tcPr>
          <w:p w14:paraId="325337B4">
            <w:pPr>
              <w:jc w:val="both"/>
              <w:rPr>
                <w:rFonts w:hint="default" w:eastAsia="宋体"/>
                <w:szCs w:val="21"/>
                <w:lang w:val="en-US" w:eastAsia="zh-CN"/>
              </w:rPr>
            </w:pPr>
            <w:bookmarkStart w:id="3" w:name="xsxm"/>
            <w:bookmarkEnd w:id="3"/>
            <w:r>
              <w:rPr>
                <w:rFonts w:hint="eastAsia" w:ascii="楷体" w:hAnsi="楷体" w:eastAsia="楷体" w:cs="楷体"/>
                <w:sz w:val="21"/>
                <w:szCs w:val="21"/>
                <w:lang w:val="en-US" w:eastAsia="zh-CN"/>
              </w:rPr>
              <w:t>毛瑞吉</w:t>
            </w:r>
          </w:p>
        </w:tc>
        <w:tc>
          <w:tcPr>
            <w:tcW w:w="2333" w:type="dxa"/>
            <w:tcBorders>
              <w:top w:val="single" w:color="auto" w:sz="8" w:space="0"/>
              <w:left w:val="single" w:color="auto" w:sz="6" w:space="0"/>
              <w:bottom w:val="single" w:color="auto" w:sz="6" w:space="0"/>
              <w:right w:val="single" w:color="auto" w:sz="6" w:space="0"/>
            </w:tcBorders>
            <w:vAlign w:val="center"/>
          </w:tcPr>
          <w:p w14:paraId="3C6EB279">
            <w:pPr>
              <w:jc w:val="both"/>
              <w:rPr>
                <w:szCs w:val="21"/>
              </w:rPr>
            </w:pPr>
            <w:r>
              <w:rPr>
                <w:rFonts w:hint="eastAsia" w:ascii="宋体" w:hAnsi="宋体"/>
                <w:sz w:val="24"/>
              </w:rPr>
              <w:t>指 导 教 师</w:t>
            </w:r>
          </w:p>
        </w:tc>
        <w:tc>
          <w:tcPr>
            <w:tcW w:w="1780" w:type="dxa"/>
            <w:tcBorders>
              <w:top w:val="single" w:color="auto" w:sz="8" w:space="0"/>
              <w:left w:val="single" w:color="auto" w:sz="6" w:space="0"/>
              <w:bottom w:val="single" w:color="auto" w:sz="6" w:space="0"/>
              <w:right w:val="single" w:color="auto" w:sz="8" w:space="0"/>
            </w:tcBorders>
            <w:vAlign w:val="center"/>
          </w:tcPr>
          <w:p w14:paraId="1AB54198">
            <w:pPr>
              <w:jc w:val="both"/>
              <w:rPr>
                <w:rFonts w:hint="default" w:eastAsia="宋体"/>
                <w:szCs w:val="21"/>
                <w:lang w:val="en-US" w:eastAsia="zh-CN"/>
              </w:rPr>
            </w:pPr>
            <w:bookmarkStart w:id="4" w:name="zdjs"/>
            <w:bookmarkEnd w:id="4"/>
            <w:r>
              <w:rPr>
                <w:rFonts w:hint="eastAsia"/>
                <w:szCs w:val="21"/>
                <w:lang w:val="en-US" w:eastAsia="zh-CN"/>
              </w:rPr>
              <w:t>朱会娟</w:t>
            </w:r>
          </w:p>
        </w:tc>
      </w:tr>
      <w:tr w14:paraId="108E4A5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85" w:hRule="atLeast"/>
          <w:jc w:val="center"/>
        </w:trPr>
        <w:tc>
          <w:tcPr>
            <w:tcW w:w="3156" w:type="dxa"/>
            <w:tcBorders>
              <w:top w:val="single" w:color="auto" w:sz="6" w:space="0"/>
              <w:left w:val="single" w:color="auto" w:sz="8" w:space="0"/>
              <w:bottom w:val="single" w:color="auto" w:sz="6" w:space="0"/>
              <w:right w:val="single" w:color="auto" w:sz="6" w:space="0"/>
            </w:tcBorders>
            <w:vAlign w:val="center"/>
          </w:tcPr>
          <w:p w14:paraId="0754370D">
            <w:pPr>
              <w:jc w:val="both"/>
              <w:rPr>
                <w:szCs w:val="21"/>
              </w:rPr>
            </w:pPr>
            <w:r>
              <w:rPr>
                <w:rFonts w:hint="eastAsia" w:ascii="宋体" w:hAnsi="宋体"/>
                <w:sz w:val="24"/>
              </w:rPr>
              <w:t>论文（设计）题目</w:t>
            </w:r>
          </w:p>
        </w:tc>
        <w:tc>
          <w:tcPr>
            <w:tcW w:w="6318" w:type="dxa"/>
            <w:gridSpan w:val="3"/>
            <w:tcBorders>
              <w:top w:val="single" w:color="auto" w:sz="6" w:space="0"/>
              <w:left w:val="single" w:color="auto" w:sz="6" w:space="0"/>
              <w:bottom w:val="single" w:color="auto" w:sz="6" w:space="0"/>
              <w:right w:val="single" w:color="auto" w:sz="8" w:space="0"/>
            </w:tcBorders>
            <w:vAlign w:val="center"/>
          </w:tcPr>
          <w:p w14:paraId="30BE0FDC">
            <w:pPr>
              <w:ind w:left="0" w:leftChars="0" w:firstLine="0" w:firstLineChars="0"/>
              <w:jc w:val="both"/>
              <w:rPr>
                <w:rFonts w:hint="default" w:eastAsia="宋体"/>
                <w:szCs w:val="21"/>
                <w:lang w:val="en-US" w:eastAsia="zh-CN"/>
              </w:rPr>
            </w:pPr>
            <w:bookmarkStart w:id="5" w:name="ktname"/>
            <w:bookmarkEnd w:id="5"/>
            <w:r>
              <w:rPr>
                <w:rFonts w:hint="eastAsia" w:ascii="楷体" w:hAnsi="楷体" w:eastAsia="楷体" w:cs="楷体"/>
                <w:sz w:val="21"/>
                <w:szCs w:val="21"/>
                <w:lang w:val="en-US" w:eastAsia="zh-CN"/>
              </w:rPr>
              <w:t>基于 DevSecOps 的自动化代码审计与漏洞扫描平台设计与实现。</w:t>
            </w:r>
          </w:p>
        </w:tc>
      </w:tr>
      <w:tr w14:paraId="0C5B8F4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1701" w:hRule="atLeast"/>
          <w:jc w:val="center"/>
        </w:trPr>
        <w:tc>
          <w:tcPr>
            <w:tcW w:w="9474" w:type="dxa"/>
            <w:gridSpan w:val="4"/>
            <w:tcBorders>
              <w:top w:val="single" w:color="auto" w:sz="6" w:space="0"/>
              <w:left w:val="single" w:color="auto" w:sz="8" w:space="0"/>
              <w:bottom w:val="single" w:color="auto" w:sz="6" w:space="0"/>
              <w:right w:val="single" w:color="auto" w:sz="8" w:space="0"/>
            </w:tcBorders>
          </w:tcPr>
          <w:p w14:paraId="3C37EC8C">
            <w:pPr>
              <w:rPr>
                <w:rFonts w:hint="eastAsia" w:ascii="宋体" w:hAnsi="宋体"/>
                <w:sz w:val="24"/>
              </w:rPr>
            </w:pPr>
          </w:p>
          <w:p w14:paraId="2F3F8939">
            <w:pPr>
              <w:ind w:left="0" w:leftChars="0" w:firstLine="0" w:firstLineChars="0"/>
              <w:rPr>
                <w:szCs w:val="21"/>
              </w:rPr>
            </w:pPr>
            <w:r>
              <w:rPr>
                <w:rFonts w:hint="eastAsia" w:ascii="宋体" w:hAnsi="宋体"/>
                <w:b/>
                <w:sz w:val="24"/>
              </w:rPr>
              <w:t>与本课题有关的国内外研究情况：</w:t>
            </w:r>
          </w:p>
          <w:p w14:paraId="4B903EDB">
            <w:pPr>
              <w:numPr>
                <w:ilvl w:val="0"/>
                <w:numId w:val="0"/>
              </w:numPr>
              <w:ind w:leftChars="0"/>
              <w:rPr>
                <w:rFonts w:hint="eastAsia"/>
                <w:color w:val="000000"/>
                <w:szCs w:val="21"/>
                <w:shd w:val="clear" w:color="auto" w:fill="FFFFFF"/>
              </w:rPr>
            </w:pPr>
            <w:r>
              <w:rPr>
                <w:rFonts w:hint="eastAsia"/>
                <w:color w:val="000000"/>
                <w:szCs w:val="21"/>
                <w:shd w:val="clear" w:color="auto" w:fill="FFFFFF"/>
              </w:rPr>
              <w:t>（一）国外研究现状</w:t>
            </w:r>
          </w:p>
          <w:p w14:paraId="420BBC5C">
            <w:pPr>
              <w:numPr>
                <w:ilvl w:val="0"/>
                <w:numId w:val="0"/>
              </w:numPr>
              <w:ind w:leftChars="0"/>
              <w:rPr>
                <w:rFonts w:hint="eastAsia"/>
                <w:color w:val="000000"/>
                <w:szCs w:val="21"/>
                <w:shd w:val="clear" w:color="auto" w:fill="FFFFFF"/>
              </w:rPr>
            </w:pPr>
            <w:r>
              <w:rPr>
                <w:rFonts w:hint="eastAsia"/>
                <w:color w:val="000000"/>
                <w:szCs w:val="21"/>
                <w:shd w:val="clear" w:color="auto" w:fill="FFFFFF"/>
              </w:rPr>
              <w:t>国外关于 DevSecOps 与自动化安全测试的研究起步较早，已逐步形成较为系统的理论框架与工程实践体系。Myrbakken 等通过多元文献综述指出，DevSecOps 的核心在于将安全活动嵌入软件需求、开发、构建、测试、发布和运维等全过程，从而实现安全能力的持续化、自动化与协同化[1]。Sultana 等在系统文献综述中进一步指出，当前 DevSecOps 研究主要集中于人员协作、流程实践、工具集成和基础设施支撑等方面，其中安全工具与流水线的自动化集成已成为研究重点[2]。Melo 等对相关研究成果进行归纳后认为，安全测试、依赖分析、镜像扫描、合规检查与反馈治理等能力正在由孤立工具向平台化协同方向演进[3]。这表明国外研究已不再局限于单项安全检测技术，而是更加关注安全能力在软件工程体系中的整体融入。</w:t>
            </w:r>
          </w:p>
          <w:p w14:paraId="250E97A2">
            <w:pPr>
              <w:numPr>
                <w:ilvl w:val="0"/>
                <w:numId w:val="0"/>
              </w:numPr>
              <w:ind w:leftChars="0"/>
              <w:rPr>
                <w:rFonts w:hint="eastAsia"/>
                <w:color w:val="000000"/>
                <w:szCs w:val="21"/>
                <w:shd w:val="clear" w:color="auto" w:fill="FFFFFF"/>
              </w:rPr>
            </w:pPr>
            <w:r>
              <w:rPr>
                <w:rFonts w:hint="eastAsia"/>
                <w:color w:val="000000"/>
                <w:szCs w:val="21"/>
                <w:shd w:val="clear" w:color="auto" w:fill="FFFFFF"/>
              </w:rPr>
              <w:t>在安全开发规范与治理框架方面，国外已形成较为成熟的指导体系。围绕组织治理、开发过程、漏洞处置和可追踪管理等方面构建安全软件开发机制，以降低软件脆弱性风险[4]。OWASP 发布的 DevSecOps Guideline 则从安全左移、自动化检查、流程嵌入和治理闭环等角度，对 DevSecOps 实践路径进行了系统总结[5]。</w:t>
            </w:r>
          </w:p>
          <w:p w14:paraId="236A4965">
            <w:pPr>
              <w:numPr>
                <w:ilvl w:val="0"/>
                <w:numId w:val="0"/>
              </w:numPr>
              <w:ind w:leftChars="0"/>
              <w:rPr>
                <w:rFonts w:hint="eastAsia"/>
                <w:color w:val="000000"/>
                <w:szCs w:val="21"/>
                <w:shd w:val="clear" w:color="auto" w:fill="FFFFFF"/>
              </w:rPr>
            </w:pPr>
            <w:r>
              <w:rPr>
                <w:rFonts w:hint="eastAsia"/>
                <w:color w:val="000000"/>
                <w:szCs w:val="21"/>
                <w:shd w:val="clear" w:color="auto" w:fill="FFFFFF"/>
              </w:rPr>
              <w:t>在静态安全测试方面，国外研究较为重视程序分析能力、规则扩展能力、误报控制能力以及与 CI/CD 流程的集成能力。Bandit 文档表明，该工具通过抽象语法树分析与插件化规则机制实现对 Python 项目常见安全缺陷的自动识别，并支持在流水线环境中输出结构化检测结果[6]。</w:t>
            </w:r>
          </w:p>
          <w:p w14:paraId="427C559D">
            <w:pPr>
              <w:numPr>
                <w:ilvl w:val="0"/>
                <w:numId w:val="0"/>
              </w:numPr>
              <w:ind w:leftChars="0"/>
              <w:rPr>
                <w:rFonts w:hint="eastAsia"/>
                <w:color w:val="000000"/>
                <w:szCs w:val="21"/>
                <w:shd w:val="clear" w:color="auto" w:fill="FFFFFF"/>
              </w:rPr>
            </w:pPr>
            <w:r>
              <w:rPr>
                <w:rFonts w:hint="eastAsia"/>
                <w:color w:val="000000"/>
                <w:szCs w:val="21"/>
                <w:shd w:val="clear" w:color="auto" w:fill="FFFFFF"/>
              </w:rPr>
              <w:t>在动态安全测试方面，国外更加关注测试任务的自动化编排与持续交付场景下的服务化运行。OWASP ZAP 自动化框架文档显示，该工具已支持通过配置文件定义扫描计划，并与容器环境和流水线平台协同完成爬虫探测、主动扫描和安全验证等任务[7]。这说明动态安全测试正由传统的人工交互式测试模式，逐步演进为可集成、可调度、可复用的自动化安全服务。</w:t>
            </w:r>
          </w:p>
          <w:p w14:paraId="1FDA8D16">
            <w:pPr>
              <w:numPr>
                <w:ilvl w:val="0"/>
                <w:numId w:val="0"/>
              </w:numPr>
              <w:ind w:leftChars="0"/>
              <w:rPr>
                <w:rFonts w:hint="eastAsia"/>
                <w:color w:val="000000"/>
                <w:szCs w:val="21"/>
                <w:shd w:val="clear" w:color="auto" w:fill="FFFFFF"/>
              </w:rPr>
            </w:pPr>
          </w:p>
          <w:p w14:paraId="1F09674B">
            <w:pPr>
              <w:numPr>
                <w:ilvl w:val="0"/>
                <w:numId w:val="0"/>
              </w:numPr>
              <w:ind w:leftChars="0"/>
              <w:rPr>
                <w:rFonts w:hint="eastAsia"/>
                <w:color w:val="000000"/>
                <w:szCs w:val="21"/>
                <w:shd w:val="clear" w:color="auto" w:fill="FFFFFF"/>
              </w:rPr>
            </w:pPr>
            <w:r>
              <w:rPr>
                <w:rFonts w:hint="eastAsia"/>
                <w:color w:val="000000"/>
                <w:szCs w:val="21"/>
                <w:shd w:val="clear" w:color="auto" w:fill="FFFFFF"/>
              </w:rPr>
              <w:t>（二）国内研究现状</w:t>
            </w:r>
          </w:p>
          <w:p w14:paraId="39414B31">
            <w:pPr>
              <w:numPr>
                <w:ilvl w:val="0"/>
                <w:numId w:val="0"/>
              </w:numPr>
              <w:ind w:leftChars="0"/>
              <w:rPr>
                <w:rFonts w:hint="eastAsia"/>
                <w:color w:val="000000"/>
                <w:szCs w:val="21"/>
                <w:shd w:val="clear" w:color="auto" w:fill="FFFFFF"/>
              </w:rPr>
            </w:pPr>
            <w:r>
              <w:rPr>
                <w:rFonts w:hint="eastAsia"/>
                <w:color w:val="000000"/>
                <w:szCs w:val="21"/>
                <w:shd w:val="clear" w:color="auto" w:fill="FFFFFF"/>
              </w:rPr>
              <w:t>相较于国外，国内关于 DevSecOps 与自动化安全测试的研究起步稍晚，但近年来发展较快，并已在持续安全、程序分析、漏洞挖掘和软件供应链安全等方面形成一定研究基础。戴启铭等在关于 DevSecOps 的研究中指出，在持续集成与持续交付背景下，将安全能力嵌入软件研发全过程已成为软件工程发展的重要方向[8]。该研究较早从国内视角对 DevSecOps 的内涵、实践路径及其面临的问题进行了系统分析，对后续相关研究具有较强的引导作用[8]。</w:t>
            </w:r>
          </w:p>
          <w:p w14:paraId="48D8D3AB">
            <w:pPr>
              <w:numPr>
                <w:ilvl w:val="0"/>
                <w:numId w:val="0"/>
              </w:numPr>
              <w:ind w:leftChars="0"/>
              <w:rPr>
                <w:rFonts w:hint="eastAsia"/>
                <w:color w:val="000000"/>
                <w:szCs w:val="21"/>
                <w:shd w:val="clear" w:color="auto" w:fill="FFFFFF"/>
              </w:rPr>
            </w:pPr>
            <w:r>
              <w:rPr>
                <w:rFonts w:hint="eastAsia"/>
                <w:color w:val="000000"/>
                <w:szCs w:val="21"/>
                <w:shd w:val="clear" w:color="auto" w:fill="FFFFFF"/>
              </w:rPr>
              <w:t>在静态分析与代码安全检测方面，国内研究主要集中于污点分析、信息流分析以及静态与动态结合的脆弱性检测方法。王蕾等系统梳理了污点分析技术的基本原理、关键问题及其在软件安全中的应用，指出污点传播分析是漏洞检测和程序安全验证中的重要技术手段[9]。黄强、曾庆凯则围绕信息流策略与污点传播分析，提出结合静态分析和动态验证的检测思路，为提高脆弱性检测准确性提供了理论支持[10]。这表明国内在程序分析与静态检测方法研究方面已具备较为扎实的理论基础，但相关成果更多集中于检测机理本身，对平台化集成与工程落地的关注仍相对有限[9-10]。</w:t>
            </w:r>
          </w:p>
          <w:p w14:paraId="1EC9B3A4">
            <w:pPr>
              <w:numPr>
                <w:ilvl w:val="0"/>
                <w:numId w:val="0"/>
              </w:numPr>
              <w:ind w:leftChars="0"/>
              <w:rPr>
                <w:rFonts w:hint="eastAsia"/>
                <w:color w:val="000000"/>
                <w:szCs w:val="21"/>
                <w:shd w:val="clear" w:color="auto" w:fill="FFFFFF"/>
              </w:rPr>
            </w:pPr>
            <w:r>
              <w:rPr>
                <w:rFonts w:hint="eastAsia"/>
                <w:color w:val="000000"/>
                <w:szCs w:val="21"/>
                <w:shd w:val="clear" w:color="auto" w:fill="FFFFFF"/>
              </w:rPr>
              <w:t>在漏洞挖掘与动态测试方面，国内研究逐渐从传统漏洞分析扩展到自动化挖掘和多方法融合。喻波等在网络协议软件漏洞挖掘技术综述中，从协议建模、模糊测试、程序分析和漏洞发现机制等方面对相关研究进行了系统总结，并指出自动化、智能化和多技术融合是该领域的重要发展方向[11]。</w:t>
            </w:r>
          </w:p>
          <w:p w14:paraId="475251FD">
            <w:pPr>
              <w:numPr>
                <w:ilvl w:val="0"/>
                <w:numId w:val="0"/>
              </w:numPr>
              <w:ind w:leftChars="0"/>
              <w:rPr>
                <w:rFonts w:hint="eastAsia"/>
                <w:color w:val="000000"/>
                <w:szCs w:val="21"/>
                <w:shd w:val="clear" w:color="auto" w:fill="FFFFFF"/>
              </w:rPr>
            </w:pPr>
            <w:r>
              <w:rPr>
                <w:rFonts w:hint="eastAsia"/>
                <w:color w:val="000000"/>
                <w:szCs w:val="21"/>
                <w:shd w:val="clear" w:color="auto" w:fill="FFFFFF"/>
              </w:rPr>
              <w:t>在软件供应链安全方面，随着开源复用和组件依赖关系日趋复杂，国内研究开始将关注重点由单体软件漏洞检测扩展到软件构建链路和依赖生态的安全风险控制。赵俊等针对混源操作系统场景提出了供应链安全风险评估方法，并从风险识别、指标构建和实例验证等角度进行了分析[12]。马会彦等则在软件供应链安全综述中指出，软件供应链安全问题涉及组件来源可信性、依赖关系透明性、构建过程完整性和全流程风险治理等多个方面，已成为当前网络与软件安全领域的重要研究议题[13]。</w:t>
            </w:r>
          </w:p>
          <w:p w14:paraId="5DAC8CF0">
            <w:pPr>
              <w:numPr>
                <w:ilvl w:val="0"/>
                <w:numId w:val="0"/>
              </w:numPr>
              <w:ind w:leftChars="0"/>
              <w:rPr>
                <w:rFonts w:hint="eastAsia"/>
                <w:color w:val="000000"/>
                <w:szCs w:val="21"/>
                <w:shd w:val="clear" w:color="auto" w:fill="FFFFFF"/>
              </w:rPr>
            </w:pPr>
            <w:bookmarkStart w:id="12" w:name="_GoBack"/>
            <w:bookmarkEnd w:id="12"/>
          </w:p>
          <w:p w14:paraId="1C8EAEF2">
            <w:pPr>
              <w:numPr>
                <w:ilvl w:val="0"/>
                <w:numId w:val="0"/>
              </w:numPr>
              <w:ind w:leftChars="0"/>
              <w:rPr>
                <w:rFonts w:hint="eastAsia"/>
                <w:color w:val="000000"/>
                <w:szCs w:val="21"/>
                <w:shd w:val="clear" w:color="auto" w:fill="FFFFFF"/>
              </w:rPr>
            </w:pPr>
            <w:r>
              <w:rPr>
                <w:rFonts w:hint="eastAsia"/>
                <w:color w:val="000000"/>
                <w:szCs w:val="21"/>
                <w:shd w:val="clear" w:color="auto" w:fill="FFFFFF"/>
              </w:rPr>
              <w:t>参考文献</w:t>
            </w:r>
          </w:p>
          <w:p w14:paraId="1B7C54D8">
            <w:pPr>
              <w:numPr>
                <w:ilvl w:val="0"/>
                <w:numId w:val="0"/>
              </w:numPr>
              <w:ind w:leftChars="0"/>
              <w:rPr>
                <w:rFonts w:hint="eastAsia"/>
                <w:color w:val="000000"/>
                <w:szCs w:val="21"/>
                <w:shd w:val="clear" w:color="auto" w:fill="FFFFFF"/>
              </w:rPr>
            </w:pPr>
            <w:r>
              <w:rPr>
                <w:rFonts w:hint="eastAsia"/>
                <w:color w:val="000000"/>
                <w:szCs w:val="21"/>
                <w:shd w:val="clear" w:color="auto" w:fill="FFFFFF"/>
              </w:rPr>
              <w:t>[1] Myrbakken H, Colomo-Palacios R. DevSecOps: A Multivocal Literature Review[M]// New Trends in Database and Information Systems. Cham: Springer, 2017: 17-29.</w:t>
            </w:r>
          </w:p>
          <w:p w14:paraId="73EF201F">
            <w:pPr>
              <w:numPr>
                <w:ilvl w:val="0"/>
                <w:numId w:val="0"/>
              </w:numPr>
              <w:ind w:leftChars="0"/>
              <w:rPr>
                <w:rFonts w:hint="eastAsia"/>
                <w:color w:val="000000"/>
                <w:szCs w:val="21"/>
                <w:shd w:val="clear" w:color="auto" w:fill="FFFFFF"/>
              </w:rPr>
            </w:pPr>
            <w:r>
              <w:rPr>
                <w:rFonts w:hint="eastAsia"/>
                <w:color w:val="000000"/>
                <w:szCs w:val="21"/>
                <w:shd w:val="clear" w:color="auto" w:fill="FFFFFF"/>
              </w:rPr>
              <w:t>[2] Sultana S, Desouza K C, Papalexandris N, et al. Challenges and solutions when adopting DevSecOps: A systematic review[J]. Information and Software Technology, 2022, 141: 106700.</w:t>
            </w:r>
          </w:p>
          <w:p w14:paraId="72CD68BD">
            <w:pPr>
              <w:numPr>
                <w:ilvl w:val="0"/>
                <w:numId w:val="0"/>
              </w:numPr>
              <w:ind w:leftChars="0"/>
              <w:rPr>
                <w:rFonts w:hint="eastAsia"/>
                <w:color w:val="000000"/>
                <w:szCs w:val="21"/>
                <w:shd w:val="clear" w:color="auto" w:fill="FFFFFF"/>
              </w:rPr>
            </w:pPr>
            <w:r>
              <w:rPr>
                <w:rFonts w:hint="eastAsia"/>
                <w:color w:val="000000"/>
                <w:szCs w:val="21"/>
                <w:shd w:val="clear" w:color="auto" w:fill="FFFFFF"/>
              </w:rPr>
              <w:t>[3] Melo C, Murta L, Rocha H, et al. DevSecOps practices and tools[J]. International Journal of Information Security, 2024.</w:t>
            </w:r>
          </w:p>
          <w:p w14:paraId="051A9397">
            <w:pPr>
              <w:numPr>
                <w:ilvl w:val="0"/>
                <w:numId w:val="0"/>
              </w:numPr>
              <w:ind w:leftChars="0"/>
              <w:rPr>
                <w:rFonts w:hint="eastAsia"/>
                <w:color w:val="000000"/>
                <w:szCs w:val="21"/>
                <w:shd w:val="clear" w:color="auto" w:fill="FFFFFF"/>
              </w:rPr>
            </w:pPr>
            <w:r>
              <w:rPr>
                <w:rFonts w:hint="eastAsia"/>
                <w:color w:val="000000"/>
                <w:szCs w:val="21"/>
                <w:shd w:val="clear" w:color="auto" w:fill="FFFFFF"/>
              </w:rPr>
              <w:t>[4] NIST. Secure Software Development Framework (SSDF) Version 1.1: Recommendations for Mitigating the Risk of Software Vulnerabilities (SP 800-218)[S]. Gaithersburg: National Institute of Standards and Technology, 2022.</w:t>
            </w:r>
          </w:p>
          <w:p w14:paraId="02145ADF">
            <w:pPr>
              <w:numPr>
                <w:ilvl w:val="0"/>
                <w:numId w:val="0"/>
              </w:numPr>
              <w:ind w:leftChars="0"/>
              <w:rPr>
                <w:rFonts w:hint="eastAsia"/>
                <w:color w:val="000000"/>
                <w:szCs w:val="21"/>
                <w:shd w:val="clear" w:color="auto" w:fill="FFFFFF"/>
              </w:rPr>
            </w:pPr>
            <w:r>
              <w:rPr>
                <w:rFonts w:hint="eastAsia"/>
                <w:color w:val="000000"/>
                <w:szCs w:val="21"/>
                <w:shd w:val="clear" w:color="auto" w:fill="FFFFFF"/>
              </w:rPr>
              <w:t>[5] OWASP Foundation. OWASP DevSecOps Guideline[EB/OL].</w:t>
            </w:r>
          </w:p>
          <w:p w14:paraId="6502EE73">
            <w:pPr>
              <w:numPr>
                <w:ilvl w:val="0"/>
                <w:numId w:val="0"/>
              </w:numPr>
              <w:ind w:leftChars="0"/>
              <w:rPr>
                <w:rFonts w:hint="eastAsia"/>
                <w:color w:val="000000"/>
                <w:szCs w:val="21"/>
                <w:shd w:val="clear" w:color="auto" w:fill="FFFFFF"/>
              </w:rPr>
            </w:pPr>
            <w:r>
              <w:rPr>
                <w:rFonts w:hint="eastAsia"/>
                <w:color w:val="000000"/>
                <w:szCs w:val="21"/>
                <w:shd w:val="clear" w:color="auto" w:fill="FFFFFF"/>
              </w:rPr>
              <w:t>[6] OpenStack Security Project Team. Bandit Documentation[EB/OL].</w:t>
            </w:r>
          </w:p>
          <w:p w14:paraId="21C9E6C5">
            <w:pPr>
              <w:numPr>
                <w:ilvl w:val="0"/>
                <w:numId w:val="0"/>
              </w:numPr>
              <w:ind w:leftChars="0"/>
              <w:rPr>
                <w:rFonts w:hint="eastAsia"/>
                <w:color w:val="000000"/>
                <w:szCs w:val="21"/>
                <w:shd w:val="clear" w:color="auto" w:fill="FFFFFF"/>
              </w:rPr>
            </w:pPr>
            <w:r>
              <w:rPr>
                <w:rFonts w:hint="eastAsia"/>
                <w:color w:val="000000"/>
                <w:szCs w:val="21"/>
                <w:shd w:val="clear" w:color="auto" w:fill="FFFFFF"/>
              </w:rPr>
              <w:t>[7] OWASP ZAP Project. ZAP Automation Framework[EB/OL].</w:t>
            </w:r>
          </w:p>
          <w:p w14:paraId="361598E7">
            <w:pPr>
              <w:numPr>
                <w:ilvl w:val="0"/>
                <w:numId w:val="0"/>
              </w:numPr>
              <w:ind w:leftChars="0"/>
              <w:rPr>
                <w:rFonts w:hint="eastAsia"/>
                <w:color w:val="000000"/>
                <w:szCs w:val="21"/>
                <w:shd w:val="clear" w:color="auto" w:fill="FFFFFF"/>
              </w:rPr>
            </w:pPr>
            <w:r>
              <w:rPr>
                <w:rFonts w:hint="eastAsia"/>
                <w:color w:val="000000"/>
                <w:szCs w:val="21"/>
                <w:shd w:val="clear" w:color="auto" w:fill="FFFFFF"/>
              </w:rPr>
              <w:t>[8] 戴启铭, 毛润丰, 黄璜, 等. DevSecOps: DevOps下实现持续安全的实践探索[J]. 软件学报, 2021, 32(10): 3014-3035.</w:t>
            </w:r>
          </w:p>
          <w:p w14:paraId="1C8ED024">
            <w:pPr>
              <w:numPr>
                <w:ilvl w:val="0"/>
                <w:numId w:val="0"/>
              </w:numPr>
              <w:ind w:leftChars="0"/>
              <w:rPr>
                <w:rFonts w:hint="eastAsia"/>
                <w:color w:val="000000"/>
                <w:szCs w:val="21"/>
                <w:shd w:val="clear" w:color="auto" w:fill="FFFFFF"/>
              </w:rPr>
            </w:pPr>
            <w:r>
              <w:rPr>
                <w:rFonts w:hint="eastAsia"/>
                <w:color w:val="000000"/>
                <w:szCs w:val="21"/>
                <w:shd w:val="clear" w:color="auto" w:fill="FFFFFF"/>
              </w:rPr>
              <w:t>[9] 王蕾, 李丰, 李炼, 冯晓兵. 污点分析技术的原理和实践应用[J]. 软件学报, 2017, 28(4): 860-882.</w:t>
            </w:r>
          </w:p>
          <w:p w14:paraId="344FD813">
            <w:pPr>
              <w:numPr>
                <w:ilvl w:val="0"/>
                <w:numId w:val="0"/>
              </w:numPr>
              <w:ind w:leftChars="0"/>
              <w:rPr>
                <w:rFonts w:hint="eastAsia"/>
                <w:color w:val="000000"/>
                <w:szCs w:val="21"/>
                <w:shd w:val="clear" w:color="auto" w:fill="FFFFFF"/>
              </w:rPr>
            </w:pPr>
            <w:r>
              <w:rPr>
                <w:rFonts w:hint="eastAsia"/>
                <w:color w:val="000000"/>
                <w:szCs w:val="21"/>
                <w:shd w:val="clear" w:color="auto" w:fill="FFFFFF"/>
              </w:rPr>
              <w:t>[10] 黄强, 曾庆凯. 基于信息流策略的污点传播分析及动态验证[J]. 软件学报, 2011, 22(9): 2036-2048.</w:t>
            </w:r>
          </w:p>
          <w:p w14:paraId="18022956">
            <w:pPr>
              <w:numPr>
                <w:ilvl w:val="0"/>
                <w:numId w:val="0"/>
              </w:numPr>
              <w:ind w:leftChars="0"/>
              <w:rPr>
                <w:rFonts w:hint="eastAsia"/>
                <w:color w:val="000000"/>
                <w:szCs w:val="21"/>
                <w:shd w:val="clear" w:color="auto" w:fill="FFFFFF"/>
              </w:rPr>
            </w:pPr>
            <w:r>
              <w:rPr>
                <w:rFonts w:hint="eastAsia"/>
                <w:color w:val="000000"/>
                <w:szCs w:val="21"/>
                <w:shd w:val="clear" w:color="auto" w:fill="FFFFFF"/>
              </w:rPr>
              <w:t>[11] 喻波, 苏金树, 杨强, 等. 网络协议软件漏洞挖掘技术综述[J]. 软件学报, 2024, 35(2): 872-898.</w:t>
            </w:r>
          </w:p>
          <w:p w14:paraId="022A1024">
            <w:pPr>
              <w:numPr>
                <w:ilvl w:val="0"/>
                <w:numId w:val="0"/>
              </w:numPr>
              <w:ind w:leftChars="0"/>
              <w:rPr>
                <w:rFonts w:hint="eastAsia"/>
                <w:color w:val="000000"/>
                <w:szCs w:val="21"/>
                <w:shd w:val="clear" w:color="auto" w:fill="FFFFFF"/>
              </w:rPr>
            </w:pPr>
            <w:r>
              <w:rPr>
                <w:rFonts w:hint="eastAsia"/>
                <w:color w:val="000000"/>
                <w:szCs w:val="21"/>
                <w:shd w:val="clear" w:color="auto" w:fill="FFFFFF"/>
              </w:rPr>
              <w:t>[12] 赵俊, 任怡, 李宝, 等. 混源操作系统供应链安全风险评估方法研究[J]. 信息网络安全, 2023(5): 50-61.</w:t>
            </w:r>
          </w:p>
          <w:p w14:paraId="53C5F5C9">
            <w:pPr>
              <w:numPr>
                <w:ilvl w:val="0"/>
                <w:numId w:val="0"/>
              </w:numPr>
              <w:ind w:leftChars="0"/>
              <w:rPr>
                <w:rFonts w:hint="eastAsia"/>
                <w:color w:val="000000"/>
                <w:szCs w:val="21"/>
                <w:shd w:val="clear" w:color="auto" w:fill="FFFFFF"/>
              </w:rPr>
            </w:pPr>
            <w:r>
              <w:rPr>
                <w:rFonts w:hint="eastAsia"/>
                <w:color w:val="000000"/>
                <w:szCs w:val="21"/>
                <w:shd w:val="clear" w:color="auto" w:fill="FFFFFF"/>
              </w:rPr>
              <w:t>[13] 马会彦, 孙毅, 云晓春, 等. 软件供应链安全综述[J]. 信息安全学报, 2020, 5(1): 62-76.</w:t>
            </w:r>
          </w:p>
          <w:p w14:paraId="4253B395">
            <w:pPr>
              <w:numPr>
                <w:ilvl w:val="0"/>
                <w:numId w:val="0"/>
              </w:numPr>
              <w:ind w:leftChars="0"/>
              <w:rPr>
                <w:rFonts w:hint="eastAsia"/>
                <w:color w:val="000000"/>
                <w:szCs w:val="21"/>
                <w:shd w:val="clear" w:color="auto" w:fill="FFFFFF"/>
              </w:rPr>
            </w:pPr>
          </w:p>
        </w:tc>
      </w:tr>
      <w:tr w14:paraId="2EF4E65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582" w:hRule="atLeast"/>
          <w:jc w:val="center"/>
        </w:trPr>
        <w:tc>
          <w:tcPr>
            <w:tcW w:w="9474" w:type="dxa"/>
            <w:gridSpan w:val="4"/>
            <w:tcBorders>
              <w:top w:val="single" w:color="auto" w:sz="6" w:space="0"/>
              <w:left w:val="single" w:color="auto" w:sz="8" w:space="0"/>
              <w:bottom w:val="single" w:color="auto" w:sz="6" w:space="0"/>
              <w:right w:val="single" w:color="auto" w:sz="8" w:space="0"/>
            </w:tcBorders>
          </w:tcPr>
          <w:p w14:paraId="792E04C3">
            <w:pPr>
              <w:rPr>
                <w:rFonts w:hint="eastAsia" w:ascii="宋体" w:hAnsi="宋体"/>
                <w:sz w:val="24"/>
              </w:rPr>
            </w:pPr>
          </w:p>
          <w:p w14:paraId="740CEA86">
            <w:pPr>
              <w:ind w:left="0" w:leftChars="0" w:firstLine="0" w:firstLineChars="0"/>
              <w:rPr>
                <w:rFonts w:hint="eastAsia" w:ascii="宋体" w:hAnsi="宋体"/>
                <w:b/>
                <w:sz w:val="24"/>
              </w:rPr>
            </w:pPr>
            <w:r>
              <w:rPr>
                <w:rFonts w:hint="eastAsia" w:ascii="宋体" w:hAnsi="宋体"/>
                <w:b/>
                <w:sz w:val="24"/>
              </w:rPr>
              <w:t>本课题研究的主要内容及方法：</w:t>
            </w:r>
          </w:p>
          <w:p w14:paraId="56F14948">
            <w:pPr>
              <w:ind w:left="0" w:leftChars="0" w:firstLine="0" w:firstLineChars="0"/>
              <w:rPr>
                <w:rFonts w:hint="eastAsia"/>
                <w:szCs w:val="21"/>
              </w:rPr>
            </w:pPr>
            <w:r>
              <w:rPr>
                <w:rFonts w:hint="eastAsia"/>
                <w:szCs w:val="21"/>
              </w:rPr>
              <w:t>（一）研究内容</w:t>
            </w:r>
          </w:p>
          <w:p w14:paraId="2DC4D954">
            <w:pPr>
              <w:ind w:left="0" w:leftChars="0" w:firstLine="0" w:firstLineChars="0"/>
              <w:rPr>
                <w:rFonts w:hint="eastAsia"/>
                <w:szCs w:val="21"/>
              </w:rPr>
            </w:pPr>
            <w:r>
              <w:rPr>
                <w:rFonts w:hint="eastAsia"/>
                <w:szCs w:val="21"/>
              </w:rPr>
              <w:t>1. 平台总体架构设计</w:t>
            </w:r>
            <w:r>
              <w:rPr>
                <w:rFonts w:hint="eastAsia"/>
                <w:szCs w:val="21"/>
                <w:lang w:eastAsia="zh-CN"/>
              </w:rPr>
              <w:t>。</w:t>
            </w:r>
            <w:r>
              <w:rPr>
                <w:rFonts w:hint="eastAsia"/>
                <w:szCs w:val="21"/>
              </w:rPr>
              <w:t>构建前后端分离的系统架构，后端采用 Flask 提供 RESTful API，使用 SQLAlchemy 完成用户、任务、审计日志等数据建模；前端采用 Vite + Vue3 + TypeScript + Tailwind 构建交互界面；任务执行层基于 Celery + Redis 实现异步任务调度与并发控制。</w:t>
            </w:r>
          </w:p>
          <w:p w14:paraId="78A2E513">
            <w:pPr>
              <w:ind w:left="0" w:leftChars="0" w:firstLine="0" w:firstLineChars="0"/>
              <w:rPr>
                <w:rFonts w:hint="eastAsia"/>
                <w:szCs w:val="21"/>
              </w:rPr>
            </w:pPr>
            <w:r>
              <w:rPr>
                <w:rFonts w:hint="eastAsia"/>
                <w:szCs w:val="21"/>
              </w:rPr>
              <w:t>2. 用户鉴权与权限控制模块</w:t>
            </w:r>
            <w:r>
              <w:rPr>
                <w:rFonts w:hint="eastAsia"/>
                <w:szCs w:val="21"/>
                <w:lang w:eastAsia="zh-CN"/>
              </w:rPr>
              <w:t>。</w:t>
            </w:r>
            <w:r>
              <w:rPr>
                <w:rFonts w:hint="eastAsia"/>
                <w:szCs w:val="21"/>
              </w:rPr>
              <w:t>实现注册、登录、基于 Token 的身份认证与角色校验，确保不同用户对任务创建、查询、取消、重跑、报告下载等操作的访问边界清晰，并结合审计日志记录关键行为，提高平台可追溯性。</w:t>
            </w:r>
          </w:p>
          <w:p w14:paraId="3D239D1A">
            <w:pPr>
              <w:ind w:left="0" w:leftChars="0" w:firstLine="0" w:firstLineChars="0"/>
              <w:rPr>
                <w:rFonts w:hint="eastAsia"/>
                <w:szCs w:val="21"/>
              </w:rPr>
            </w:pPr>
            <w:r>
              <w:rPr>
                <w:rFonts w:hint="eastAsia"/>
                <w:szCs w:val="21"/>
              </w:rPr>
              <w:t>3. SAST 静态代码审计模块</w:t>
            </w:r>
            <w:r>
              <w:rPr>
                <w:rFonts w:hint="eastAsia"/>
                <w:szCs w:val="21"/>
                <w:lang w:eastAsia="zh-CN"/>
              </w:rPr>
              <w:t>。</w:t>
            </w:r>
            <w:r>
              <w:rPr>
                <w:rFonts w:hint="eastAsia"/>
                <w:szCs w:val="21"/>
              </w:rPr>
              <w:t xml:space="preserve">面向用户上传的代码文件或项目压缩包，设置扩展名和文件大小限制，调用 Bandit 对 Python 代码进行静态安全扫描，解析扫描结果并入库存储，记录扫描进度、耗时、报告路径以及问题的严重程度和类型分布。 </w:t>
            </w:r>
          </w:p>
          <w:p w14:paraId="36797744">
            <w:pPr>
              <w:ind w:left="0" w:leftChars="0" w:firstLine="0" w:firstLineChars="0"/>
              <w:rPr>
                <w:rFonts w:hint="eastAsia"/>
                <w:szCs w:val="21"/>
              </w:rPr>
            </w:pPr>
            <w:r>
              <w:rPr>
                <w:rFonts w:hint="eastAsia"/>
                <w:szCs w:val="21"/>
              </w:rPr>
              <w:t>4. DAST 动态漏洞扫描模块</w:t>
            </w:r>
            <w:r>
              <w:rPr>
                <w:rFonts w:hint="eastAsia"/>
                <w:szCs w:val="21"/>
                <w:lang w:eastAsia="zh-CN"/>
              </w:rPr>
              <w:t>。</w:t>
            </w:r>
            <w:r>
              <w:rPr>
                <w:rFonts w:hint="eastAsia"/>
                <w:szCs w:val="21"/>
              </w:rPr>
              <w:t xml:space="preserve">面向已部署的目标网站，提供 URL 任务创建接口，通过异步队列触发动态扫描任务，生成结果摘要并保存任务状态。该模块重点研究对在线目标的自动探测、任务占位、超时处理及结果摘要生成机制。 </w:t>
            </w:r>
          </w:p>
          <w:p w14:paraId="1F60FE1D">
            <w:pPr>
              <w:ind w:left="0" w:leftChars="0" w:firstLine="0" w:firstLineChars="0"/>
              <w:rPr>
                <w:rFonts w:hint="eastAsia"/>
                <w:szCs w:val="21"/>
              </w:rPr>
            </w:pPr>
            <w:r>
              <w:rPr>
                <w:rFonts w:hint="eastAsia"/>
                <w:szCs w:val="21"/>
              </w:rPr>
              <w:t>5. 任务管理与审计日志模块</w:t>
            </w:r>
            <w:r>
              <w:rPr>
                <w:rFonts w:hint="eastAsia"/>
                <w:szCs w:val="21"/>
                <w:lang w:eastAsia="zh-CN"/>
              </w:rPr>
              <w:t>。</w:t>
            </w:r>
            <w:r>
              <w:rPr>
                <w:rFonts w:hint="eastAsia"/>
                <w:szCs w:val="21"/>
              </w:rPr>
              <w:t>实现统一的任务创建、查询、取消、重跑接口，并设计完善的参数校验、错误返回和运行状态管理机制。通过审计日志记录用户关键操作，为平台的安全治理、异常定位和后续扩展提供支撑。</w:t>
            </w:r>
          </w:p>
          <w:p w14:paraId="3792DBB0">
            <w:pPr>
              <w:ind w:left="0" w:leftChars="0" w:firstLine="0" w:firstLineChars="0"/>
              <w:rPr>
                <w:rFonts w:hint="eastAsia"/>
                <w:szCs w:val="21"/>
              </w:rPr>
            </w:pPr>
            <w:r>
              <w:rPr>
                <w:rFonts w:hint="eastAsia"/>
                <w:szCs w:val="21"/>
              </w:rPr>
              <w:t>6. 报告展示与历史追踪模块</w:t>
            </w:r>
            <w:r>
              <w:rPr>
                <w:rFonts w:hint="eastAsia"/>
                <w:szCs w:val="21"/>
                <w:lang w:eastAsia="zh-CN"/>
              </w:rPr>
              <w:t>。</w:t>
            </w:r>
            <w:r>
              <w:rPr>
                <w:rFonts w:hint="eastAsia"/>
                <w:szCs w:val="21"/>
              </w:rPr>
              <w:t>提供任务列表、任务详情、结果摘要、JSON 报告下载等功能，对扫描进度、耗时、风险等级和问题分类进行可视化展示，便于用户进行历史对比和安全分析。</w:t>
            </w:r>
          </w:p>
          <w:p w14:paraId="1D41F4D2">
            <w:pPr>
              <w:ind w:left="0" w:leftChars="0" w:firstLine="0" w:firstLineChars="0"/>
              <w:rPr>
                <w:rFonts w:hint="eastAsia"/>
                <w:szCs w:val="21"/>
              </w:rPr>
            </w:pPr>
            <w:r>
              <w:rPr>
                <w:rFonts w:hint="eastAsia"/>
                <w:szCs w:val="21"/>
              </w:rPr>
              <w:t>7. 实验评估与性能分析</w:t>
            </w:r>
            <w:r>
              <w:rPr>
                <w:rFonts w:hint="eastAsia"/>
                <w:szCs w:val="21"/>
                <w:lang w:eastAsia="zh-CN"/>
              </w:rPr>
              <w:t>。</w:t>
            </w:r>
            <w:r>
              <w:rPr>
                <w:rFonts w:hint="eastAsia"/>
                <w:szCs w:val="21"/>
              </w:rPr>
              <w:t>在示例代码库或公开漏洞代码库上运行 Bandit，统计问题条数、严重度分布与执行耗时，并对比并发限流前后的系统稳定性。同时验证上传大小/类型限制、鉴权失效、DAST 任务占位和超时处理等机制的健壮性。</w:t>
            </w:r>
          </w:p>
          <w:p w14:paraId="4570CF65">
            <w:pPr>
              <w:ind w:left="0" w:leftChars="0" w:firstLine="0" w:firstLineChars="0"/>
              <w:rPr>
                <w:rFonts w:hint="eastAsia"/>
                <w:szCs w:val="21"/>
              </w:rPr>
            </w:pPr>
            <w:r>
              <w:rPr>
                <w:rFonts w:hint="eastAsia"/>
                <w:szCs w:val="21"/>
              </w:rPr>
              <w:t>（二）研究方法</w:t>
            </w:r>
          </w:p>
          <w:p w14:paraId="7855DB9C">
            <w:pPr>
              <w:ind w:left="0" w:leftChars="0" w:firstLine="0" w:firstLineChars="0"/>
              <w:rPr>
                <w:rFonts w:hint="eastAsia"/>
                <w:szCs w:val="21"/>
              </w:rPr>
            </w:pPr>
            <w:r>
              <w:rPr>
                <w:rFonts w:hint="eastAsia"/>
                <w:szCs w:val="21"/>
              </w:rPr>
              <w:t>1. 文献研究法</w:t>
            </w:r>
            <w:r>
              <w:rPr>
                <w:rFonts w:hint="eastAsia"/>
                <w:szCs w:val="21"/>
                <w:lang w:eastAsia="zh-CN"/>
              </w:rPr>
              <w:t>。</w:t>
            </w:r>
            <w:r>
              <w:rPr>
                <w:rFonts w:hint="eastAsia"/>
                <w:szCs w:val="21"/>
              </w:rPr>
              <w:t>通过查阅 DevSecOps、SAST、DAST、持续安全集成、异步任务调度和前端可视化相关文献与技术资料，掌握本课题的研究背景、技术发展现状和可行实现路径，为系统设计提供理论依据。任务书已明确要求开展文献与方案调研。</w:t>
            </w:r>
          </w:p>
          <w:p w14:paraId="5246E441">
            <w:pPr>
              <w:ind w:left="0" w:leftChars="0" w:firstLine="0" w:firstLineChars="0"/>
              <w:rPr>
                <w:rFonts w:hint="eastAsia"/>
                <w:szCs w:val="21"/>
              </w:rPr>
            </w:pPr>
            <w:r>
              <w:rPr>
                <w:rFonts w:hint="eastAsia"/>
                <w:szCs w:val="21"/>
              </w:rPr>
              <w:t>2. 系统分析与设计法</w:t>
            </w:r>
            <w:r>
              <w:rPr>
                <w:rFonts w:hint="eastAsia"/>
                <w:szCs w:val="21"/>
                <w:lang w:eastAsia="zh-CN"/>
              </w:rPr>
              <w:t>。</w:t>
            </w:r>
            <w:r>
              <w:rPr>
                <w:rFonts w:hint="eastAsia"/>
                <w:szCs w:val="21"/>
              </w:rPr>
              <w:t>根据实际业务流程，将平台拆分为用户管理、任务管理、SAST、DAST、审计日志、报告管理和前端展示等模块，采用模块化思想进行数据库设计、接口设计和业务流程设计，形成完整系统方案。</w:t>
            </w:r>
          </w:p>
          <w:p w14:paraId="32BDB8B4">
            <w:pPr>
              <w:ind w:left="0" w:leftChars="0" w:firstLine="0" w:firstLineChars="0"/>
              <w:rPr>
                <w:rFonts w:hint="eastAsia"/>
                <w:szCs w:val="21"/>
              </w:rPr>
            </w:pPr>
            <w:r>
              <w:rPr>
                <w:rFonts w:hint="eastAsia"/>
                <w:szCs w:val="21"/>
              </w:rPr>
              <w:t>3. 原型实现法</w:t>
            </w:r>
            <w:r>
              <w:rPr>
                <w:rFonts w:hint="eastAsia"/>
                <w:szCs w:val="21"/>
                <w:lang w:eastAsia="zh-CN"/>
              </w:rPr>
              <w:t>。</w:t>
            </w:r>
            <w:r>
              <w:rPr>
                <w:rFonts w:hint="eastAsia"/>
                <w:szCs w:val="21"/>
              </w:rPr>
              <w:t>基于 Flask、SQLAlchemy、Celery、Redis、Vue3 等技术实现系统原型，并逐步打通用户认证、文件上传、任务调度、结果解析与前端展示等核心链路，通过工程化实践验证设计可行性。</w:t>
            </w:r>
          </w:p>
        </w:tc>
      </w:tr>
      <w:tr w14:paraId="3131A83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879" w:hRule="atLeast"/>
          <w:jc w:val="center"/>
        </w:trPr>
        <w:tc>
          <w:tcPr>
            <w:tcW w:w="9474" w:type="dxa"/>
            <w:gridSpan w:val="4"/>
            <w:tcBorders>
              <w:top w:val="single" w:color="auto" w:sz="6" w:space="0"/>
              <w:left w:val="single" w:color="auto" w:sz="8" w:space="0"/>
              <w:bottom w:val="single" w:color="auto" w:sz="6" w:space="0"/>
              <w:right w:val="single" w:color="auto" w:sz="8" w:space="0"/>
            </w:tcBorders>
          </w:tcPr>
          <w:p w14:paraId="3C163230">
            <w:pPr>
              <w:rPr>
                <w:rFonts w:hint="eastAsia" w:ascii="宋体" w:hAnsi="宋体"/>
                <w:sz w:val="24"/>
              </w:rPr>
            </w:pPr>
          </w:p>
          <w:p w14:paraId="1A1D56D2">
            <w:pPr>
              <w:ind w:left="0" w:leftChars="0" w:firstLine="0" w:firstLineChars="0"/>
              <w:rPr>
                <w:rFonts w:hint="eastAsia"/>
                <w:szCs w:val="21"/>
              </w:rPr>
            </w:pPr>
            <w:r>
              <w:rPr>
                <w:rFonts w:hint="eastAsia" w:ascii="宋体" w:hAnsi="宋体"/>
                <w:b/>
                <w:sz w:val="24"/>
              </w:rPr>
              <w:t>本课题所需要解决的问题：</w:t>
            </w:r>
            <w:bookmarkStart w:id="6" w:name="three"/>
            <w:bookmarkEnd w:id="6"/>
            <w:r>
              <w:rPr>
                <w:rFonts w:hint="eastAsia"/>
                <w:szCs w:val="21"/>
              </w:rPr>
              <w:t xml:space="preserve"> </w:t>
            </w:r>
          </w:p>
          <w:p w14:paraId="65DDA7EC">
            <w:pPr>
              <w:rPr>
                <w:rFonts w:hint="eastAsia"/>
                <w:szCs w:val="21"/>
              </w:rPr>
            </w:pPr>
            <w:r>
              <w:rPr>
                <w:rFonts w:hint="eastAsia"/>
                <w:szCs w:val="21"/>
                <w:shd w:val="clear" w:color="auto" w:fill="auto"/>
              </w:rPr>
              <w:t>在 DevSecOps 场景下，构建一体化安全检测平台需重点解决五大核心问题：一是实现静态审计与动态扫描的统一集成，针对 SAST 与 DAST 在检测对象、执行方式和结果结构上的差异，在统一平台中兼容代码上传与在线 URL 扫描；二是完成异步任务调度与并发控制，借助 Celery 与 Redis 实现耗时较长的安全扫描任务的排队、执行、取消、重跑及限流，保障平台稳定运行；三是保证平台自身安全，通过 Token 鉴权、角色权限控制、输入参数校验与关键操作日志审计，防范登录、代码上传、URL 提交及报告下载等环节的安全风险；四是实现扫描结果的统一解析与可视化展示，抽象统一数据模型以适配不同工具的结果格式，对漏洞信息、严重等级、状态与耗时等进行标准化存储和前端直观呈现；五是提升系统可扩展性与可维护性，通过模块解耦、接口规范化与通用数据结构设计，为后续接入更多 SAST/DAST 工具、规则策略及报告格式预留扩展能力。</w:t>
            </w:r>
          </w:p>
        </w:tc>
      </w:tr>
      <w:tr w14:paraId="4B51D61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034" w:hRule="atLeast"/>
          <w:jc w:val="center"/>
        </w:trPr>
        <w:tc>
          <w:tcPr>
            <w:tcW w:w="9474" w:type="dxa"/>
            <w:gridSpan w:val="4"/>
            <w:tcBorders>
              <w:top w:val="single" w:color="auto" w:sz="6" w:space="0"/>
              <w:left w:val="single" w:color="auto" w:sz="8" w:space="0"/>
              <w:bottom w:val="single" w:color="auto" w:sz="6" w:space="0"/>
              <w:right w:val="single" w:color="auto" w:sz="8" w:space="0"/>
            </w:tcBorders>
          </w:tcPr>
          <w:p w14:paraId="498AAB4E">
            <w:pPr>
              <w:rPr>
                <w:rFonts w:hint="eastAsia" w:ascii="宋体" w:hAnsi="宋体"/>
                <w:sz w:val="24"/>
              </w:rPr>
            </w:pPr>
          </w:p>
          <w:p w14:paraId="1CAD2484">
            <w:pPr>
              <w:ind w:left="0" w:leftChars="0" w:firstLine="0" w:firstLineChars="0"/>
              <w:rPr>
                <w:rFonts w:hint="eastAsia"/>
                <w:szCs w:val="21"/>
              </w:rPr>
            </w:pPr>
            <w:r>
              <w:rPr>
                <w:rFonts w:hint="eastAsia" w:ascii="宋体" w:hAnsi="宋体"/>
                <w:b/>
                <w:sz w:val="24"/>
              </w:rPr>
              <w:t>预期结果及其意义：</w:t>
            </w:r>
            <w:bookmarkStart w:id="7" w:name="four"/>
            <w:bookmarkEnd w:id="7"/>
          </w:p>
          <w:p w14:paraId="34160E69">
            <w:pPr>
              <w:ind w:firstLine="420" w:firstLineChars="200"/>
              <w:rPr>
                <w:rFonts w:hint="eastAsia"/>
                <w:szCs w:val="21"/>
              </w:rPr>
            </w:pPr>
            <w:r>
              <w:rPr>
                <w:rFonts w:hint="eastAsia"/>
                <w:szCs w:val="21"/>
              </w:rPr>
              <w:t>（一）预期结果</w:t>
            </w:r>
          </w:p>
          <w:p w14:paraId="5BBBF90B">
            <w:pPr>
              <w:ind w:firstLine="420" w:firstLineChars="200"/>
              <w:rPr>
                <w:rFonts w:hint="eastAsia"/>
                <w:szCs w:val="21"/>
              </w:rPr>
            </w:pPr>
            <w:r>
              <w:rPr>
                <w:rFonts w:hint="eastAsia"/>
                <w:szCs w:val="21"/>
              </w:rPr>
              <w:t>设计并实现一个基于 DevSecOps 思想的自动化代码审计与漏洞扫描平台原型，完成用户注册、登录、Token 鉴权、角色校验、健康检查等后端基础功能，实现任务创建、查询、取消、重跑、日志记录等任务管理功能；实现基于 Bandit 的 SAST 扫描流程，包含文件上传限制、扫描调用、结果解析、状态记录与报告保存，实现基于 URL 的 DAST 任务创建与异步队列处理并生成结果摘要，同时提供任务列表、详情查看、SAST 结果概览及 JSON 报告下载等功能；完成实验评估，形成问题数量、严重度分布、执行耗时、系统稳定性等相关实验数据与分析结论，并在此基础上完成毕业论文撰写，形成较为完整的系统设计、实现与测试文档。</w:t>
            </w:r>
          </w:p>
          <w:p w14:paraId="58A3BD04">
            <w:pPr>
              <w:ind w:firstLine="420" w:firstLineChars="200"/>
              <w:rPr>
                <w:rFonts w:hint="eastAsia"/>
                <w:szCs w:val="21"/>
              </w:rPr>
            </w:pPr>
            <w:r>
              <w:rPr>
                <w:rFonts w:hint="eastAsia"/>
                <w:szCs w:val="21"/>
              </w:rPr>
              <w:t>（二）研究意义</w:t>
            </w:r>
          </w:p>
          <w:p w14:paraId="4E1A2A44">
            <w:pPr>
              <w:ind w:firstLine="420" w:firstLineChars="200"/>
              <w:rPr>
                <w:rFonts w:hint="eastAsia"/>
                <w:szCs w:val="21"/>
              </w:rPr>
            </w:pPr>
            <w:r>
              <w:rPr>
                <w:rFonts w:hint="eastAsia"/>
                <w:szCs w:val="21"/>
                <w:lang w:val="en-US" w:eastAsia="zh-CN"/>
              </w:rPr>
              <w:t>1、理论意义：</w:t>
            </w:r>
            <w:r>
              <w:rPr>
                <w:rFonts w:hint="eastAsia"/>
                <w:szCs w:val="21"/>
              </w:rPr>
              <w:t>本课题将 DevSecOps 理念与自动化安全检测平台实现相结合，有助于深化对“安全左移”“持续安全验证”和“平台化集成”的理解。通过将 SAST 与 DAST 融合于统一架构中，可以为相关研究提供一个兼具工程实现与教学研究价值的参考案例。</w:t>
            </w:r>
          </w:p>
          <w:p w14:paraId="74E5838D">
            <w:pPr>
              <w:ind w:firstLine="420" w:firstLineChars="200"/>
              <w:rPr>
                <w:rFonts w:hint="eastAsia"/>
                <w:szCs w:val="21"/>
              </w:rPr>
            </w:pPr>
            <w:r>
              <w:rPr>
                <w:rFonts w:hint="eastAsia"/>
                <w:szCs w:val="21"/>
                <w:lang w:val="en-US" w:eastAsia="zh-CN"/>
              </w:rPr>
              <w:t>2、</w:t>
            </w:r>
            <w:r>
              <w:rPr>
                <w:rFonts w:hint="eastAsia"/>
                <w:szCs w:val="21"/>
              </w:rPr>
              <w:t>实践意义</w:t>
            </w:r>
            <w:r>
              <w:rPr>
                <w:rFonts w:hint="eastAsia"/>
                <w:szCs w:val="21"/>
                <w:lang w:eastAsia="zh-CN"/>
              </w:rPr>
              <w:t>：</w:t>
            </w:r>
            <w:r>
              <w:rPr>
                <w:rFonts w:hint="eastAsia"/>
                <w:szCs w:val="21"/>
              </w:rPr>
              <w:t>本课题所构建的平台面向实际开发测试场景，可用于提高研发阶段的安全审查效率，降低人工测试成本，增强对代码风险与运行期漏洞的发现能力。同时，该平台具有轻量化、模块化和易扩展等特点，适合用于课程设计、实验教学、中小项目安全检测以及后续系统迭代开发，具有较好的应用推广价值。</w:t>
            </w:r>
          </w:p>
          <w:p w14:paraId="2B2ACCDA">
            <w:pPr>
              <w:ind w:firstLine="420" w:firstLineChars="200"/>
              <w:rPr>
                <w:rFonts w:hint="eastAsia"/>
                <w:szCs w:val="21"/>
              </w:rPr>
            </w:pPr>
          </w:p>
        </w:tc>
      </w:tr>
      <w:tr w14:paraId="0AD5C13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99" w:hRule="atLeast"/>
          <w:jc w:val="center"/>
        </w:trPr>
        <w:tc>
          <w:tcPr>
            <w:tcW w:w="9474" w:type="dxa"/>
            <w:gridSpan w:val="4"/>
            <w:tcBorders>
              <w:top w:val="single" w:color="auto" w:sz="6" w:space="0"/>
              <w:left w:val="single" w:color="auto" w:sz="8" w:space="0"/>
              <w:bottom w:val="single" w:color="auto" w:sz="6" w:space="0"/>
              <w:right w:val="single" w:color="auto" w:sz="8" w:space="0"/>
            </w:tcBorders>
            <w:vAlign w:val="center"/>
          </w:tcPr>
          <w:p w14:paraId="05F692DA">
            <w:pPr>
              <w:jc w:val="center"/>
              <w:rPr>
                <w:szCs w:val="21"/>
              </w:rPr>
            </w:pPr>
            <w:r>
              <w:rPr>
                <w:rFonts w:hint="eastAsia" w:ascii="宋体" w:hAnsi="宋体"/>
                <w:sz w:val="24"/>
              </w:rPr>
              <w:t>完成课题的各阶段工作具体安排</w:t>
            </w:r>
          </w:p>
        </w:tc>
      </w:tr>
      <w:tr w14:paraId="4AE0B4A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85" w:hRule="atLeast"/>
          <w:jc w:val="center"/>
        </w:trPr>
        <w:tc>
          <w:tcPr>
            <w:tcW w:w="3156" w:type="dxa"/>
            <w:tcBorders>
              <w:top w:val="single" w:color="auto" w:sz="6" w:space="0"/>
              <w:left w:val="single" w:color="auto" w:sz="8" w:space="0"/>
              <w:bottom w:val="single" w:color="auto" w:sz="6" w:space="0"/>
              <w:right w:val="single" w:color="auto" w:sz="6" w:space="0"/>
            </w:tcBorders>
            <w:vAlign w:val="center"/>
          </w:tcPr>
          <w:p w14:paraId="0BE3FDD5">
            <w:pPr>
              <w:jc w:val="center"/>
              <w:rPr>
                <w:szCs w:val="21"/>
              </w:rPr>
            </w:pPr>
            <w:r>
              <w:rPr>
                <w:rFonts w:hint="eastAsia" w:ascii="宋体" w:hAnsi="宋体"/>
                <w:sz w:val="24"/>
              </w:rPr>
              <w:t>起止日期</w:t>
            </w:r>
          </w:p>
        </w:tc>
        <w:tc>
          <w:tcPr>
            <w:tcW w:w="6318" w:type="dxa"/>
            <w:gridSpan w:val="3"/>
            <w:tcBorders>
              <w:top w:val="single" w:color="auto" w:sz="6" w:space="0"/>
              <w:left w:val="single" w:color="auto" w:sz="6" w:space="0"/>
              <w:bottom w:val="single" w:color="auto" w:sz="6" w:space="0"/>
              <w:right w:val="single" w:color="auto" w:sz="8" w:space="0"/>
            </w:tcBorders>
            <w:vAlign w:val="center"/>
          </w:tcPr>
          <w:p w14:paraId="45ADC782">
            <w:pPr>
              <w:jc w:val="center"/>
              <w:rPr>
                <w:szCs w:val="21"/>
              </w:rPr>
            </w:pPr>
            <w:r>
              <w:rPr>
                <w:rFonts w:hint="eastAsia" w:ascii="宋体" w:hAnsi="宋体"/>
                <w:sz w:val="24"/>
              </w:rPr>
              <w:t>本阶段的工作安排</w:t>
            </w:r>
          </w:p>
        </w:tc>
      </w:tr>
      <w:tr w14:paraId="28DCF57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85" w:hRule="atLeast"/>
          <w:jc w:val="center"/>
        </w:trPr>
        <w:tc>
          <w:tcPr>
            <w:tcW w:w="3156" w:type="dxa"/>
            <w:tcBorders>
              <w:top w:val="single" w:color="auto" w:sz="6" w:space="0"/>
              <w:left w:val="single" w:color="auto" w:sz="8" w:space="0"/>
              <w:bottom w:val="single" w:color="auto" w:sz="6" w:space="0"/>
              <w:right w:val="single" w:color="auto" w:sz="6" w:space="0"/>
            </w:tcBorders>
            <w:vAlign w:val="center"/>
          </w:tcPr>
          <w:p w14:paraId="0B0A0A53">
            <w:pPr>
              <w:jc w:val="center"/>
              <w:rPr>
                <w:rFonts w:hint="eastAsia" w:ascii="楷体" w:hAnsi="楷体" w:eastAsia="楷体" w:cs="楷体"/>
                <w:sz w:val="21"/>
                <w:szCs w:val="21"/>
              </w:rPr>
            </w:pPr>
            <w:r>
              <w:rPr>
                <w:rFonts w:hint="eastAsia" w:ascii="楷体" w:hAnsi="楷体" w:eastAsia="楷体" w:cs="楷体"/>
                <w:kern w:val="0"/>
                <w:sz w:val="21"/>
                <w:szCs w:val="21"/>
                <w:lang w:val="en-US" w:eastAsia="zh-CN" w:bidi="ar"/>
              </w:rPr>
              <w:t>2025.2.17—2025.3.4</w:t>
            </w:r>
          </w:p>
        </w:tc>
        <w:tc>
          <w:tcPr>
            <w:tcW w:w="6318" w:type="dxa"/>
            <w:gridSpan w:val="3"/>
            <w:tcBorders>
              <w:top w:val="single" w:color="auto" w:sz="6" w:space="0"/>
              <w:left w:val="single" w:color="auto" w:sz="6" w:space="0"/>
              <w:bottom w:val="single" w:color="auto" w:sz="6" w:space="0"/>
              <w:right w:val="single" w:color="auto" w:sz="8" w:space="0"/>
            </w:tcBorders>
            <w:vAlign w:val="center"/>
          </w:tcPr>
          <w:p w14:paraId="10502F9D">
            <w:pPr>
              <w:jc w:val="center"/>
              <w:rPr>
                <w:rFonts w:hint="eastAsia" w:ascii="楷体" w:hAnsi="楷体" w:eastAsia="楷体" w:cs="楷体"/>
                <w:sz w:val="21"/>
                <w:szCs w:val="21"/>
              </w:rPr>
            </w:pPr>
            <w:r>
              <w:rPr>
                <w:rFonts w:hint="eastAsia" w:ascii="楷体" w:hAnsi="楷体" w:eastAsia="楷体" w:cs="楷体"/>
                <w:sz w:val="21"/>
                <w:szCs w:val="21"/>
                <w:lang w:val="en-US" w:eastAsia="zh-CN"/>
              </w:rPr>
              <w:t>开展需求复核、文献调研与技术选型，明确系统总体目标、功能模块及实现路线；完成相关中外文献阅读与整理。</w:t>
            </w:r>
          </w:p>
        </w:tc>
      </w:tr>
      <w:tr w14:paraId="51E330A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85" w:hRule="atLeast"/>
          <w:jc w:val="center"/>
        </w:trPr>
        <w:tc>
          <w:tcPr>
            <w:tcW w:w="3156" w:type="dxa"/>
            <w:tcBorders>
              <w:top w:val="single" w:color="auto" w:sz="6" w:space="0"/>
              <w:left w:val="single" w:color="auto" w:sz="8" w:space="0"/>
              <w:bottom w:val="single" w:color="auto" w:sz="6" w:space="0"/>
              <w:right w:val="single" w:color="auto" w:sz="6" w:space="0"/>
            </w:tcBorders>
            <w:vAlign w:val="center"/>
          </w:tcPr>
          <w:p w14:paraId="4FFB638A">
            <w:pPr>
              <w:jc w:val="center"/>
              <w:rPr>
                <w:rFonts w:hint="eastAsia" w:ascii="楷体" w:hAnsi="楷体" w:eastAsia="楷体" w:cs="楷体"/>
                <w:sz w:val="21"/>
                <w:szCs w:val="21"/>
              </w:rPr>
            </w:pPr>
            <w:r>
              <w:rPr>
                <w:rFonts w:hint="eastAsia" w:ascii="楷体" w:hAnsi="楷体" w:eastAsia="楷体" w:cs="楷体"/>
                <w:kern w:val="0"/>
                <w:sz w:val="21"/>
                <w:szCs w:val="21"/>
                <w:lang w:val="en-US" w:eastAsia="zh-CN" w:bidi="ar"/>
              </w:rPr>
              <w:t>2025.3.5—2025.3.20</w:t>
            </w:r>
          </w:p>
        </w:tc>
        <w:tc>
          <w:tcPr>
            <w:tcW w:w="6318" w:type="dxa"/>
            <w:gridSpan w:val="3"/>
            <w:tcBorders>
              <w:top w:val="single" w:color="auto" w:sz="6" w:space="0"/>
              <w:left w:val="single" w:color="auto" w:sz="6" w:space="0"/>
              <w:bottom w:val="single" w:color="auto" w:sz="6" w:space="0"/>
              <w:right w:val="single" w:color="auto" w:sz="8" w:space="0"/>
            </w:tcBorders>
            <w:vAlign w:val="center"/>
          </w:tcPr>
          <w:p w14:paraId="777D3E87">
            <w:pPr>
              <w:jc w:val="center"/>
              <w:rPr>
                <w:rFonts w:hint="eastAsia" w:ascii="楷体" w:hAnsi="楷体" w:eastAsia="楷体" w:cs="楷体"/>
                <w:sz w:val="21"/>
                <w:szCs w:val="21"/>
              </w:rPr>
            </w:pPr>
            <w:r>
              <w:rPr>
                <w:rFonts w:hint="eastAsia" w:ascii="楷体" w:hAnsi="楷体" w:eastAsia="楷体" w:cs="楷体"/>
                <w:kern w:val="0"/>
                <w:sz w:val="21"/>
                <w:szCs w:val="21"/>
                <w:lang w:val="en-US" w:eastAsia="zh-CN" w:bidi="ar"/>
              </w:rPr>
              <w:t>完成后端基础框架搭建、项目配置及数据库表设计，主要包括用户表、任务表、审计日志表等；实现基础鉴权与日志功能。</w:t>
            </w:r>
          </w:p>
        </w:tc>
      </w:tr>
      <w:tr w14:paraId="00734F2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85" w:hRule="atLeast"/>
          <w:jc w:val="center"/>
        </w:trPr>
        <w:tc>
          <w:tcPr>
            <w:tcW w:w="3156" w:type="dxa"/>
            <w:tcBorders>
              <w:top w:val="single" w:color="auto" w:sz="6" w:space="0"/>
              <w:left w:val="single" w:color="auto" w:sz="8" w:space="0"/>
              <w:bottom w:val="single" w:color="auto" w:sz="6" w:space="0"/>
              <w:right w:val="single" w:color="auto" w:sz="6" w:space="0"/>
            </w:tcBorders>
            <w:vAlign w:val="center"/>
          </w:tcPr>
          <w:p w14:paraId="6C4A7161">
            <w:pPr>
              <w:jc w:val="center"/>
              <w:rPr>
                <w:rFonts w:hint="eastAsia" w:ascii="楷体" w:hAnsi="楷体" w:eastAsia="楷体" w:cs="楷体"/>
                <w:sz w:val="21"/>
                <w:szCs w:val="21"/>
              </w:rPr>
            </w:pPr>
            <w:r>
              <w:rPr>
                <w:rFonts w:hint="eastAsia" w:ascii="楷体" w:hAnsi="楷体" w:eastAsia="楷体" w:cs="楷体"/>
                <w:kern w:val="0"/>
                <w:sz w:val="21"/>
                <w:szCs w:val="21"/>
                <w:lang w:val="en-US" w:eastAsia="zh-CN" w:bidi="ar"/>
              </w:rPr>
              <w:t>2025.3.21—2025.4.5</w:t>
            </w:r>
          </w:p>
        </w:tc>
        <w:tc>
          <w:tcPr>
            <w:tcW w:w="6318" w:type="dxa"/>
            <w:gridSpan w:val="3"/>
            <w:tcBorders>
              <w:top w:val="single" w:color="auto" w:sz="6" w:space="0"/>
              <w:left w:val="single" w:color="auto" w:sz="6" w:space="0"/>
              <w:bottom w:val="single" w:color="auto" w:sz="6" w:space="0"/>
              <w:right w:val="single" w:color="auto" w:sz="8" w:space="0"/>
            </w:tcBorders>
            <w:vAlign w:val="center"/>
          </w:tcPr>
          <w:p w14:paraId="52F3B12B">
            <w:pPr>
              <w:jc w:val="center"/>
              <w:rPr>
                <w:rFonts w:hint="eastAsia" w:ascii="楷体" w:hAnsi="楷体" w:eastAsia="楷体" w:cs="楷体"/>
                <w:sz w:val="21"/>
                <w:szCs w:val="21"/>
              </w:rPr>
            </w:pPr>
            <w:r>
              <w:rPr>
                <w:rFonts w:hint="eastAsia" w:ascii="楷体" w:hAnsi="楷体" w:eastAsia="楷体" w:cs="楷体"/>
                <w:kern w:val="0"/>
                <w:sz w:val="21"/>
                <w:szCs w:val="21"/>
                <w:lang w:val="en-US" w:eastAsia="zh-CN" w:bidi="ar"/>
              </w:rPr>
              <w:t>完成任务管理接口开发，实现任务创建、查询、取消、重跑等功能；完善并发限流、健康检查及审计日志相关功能。</w:t>
            </w:r>
          </w:p>
        </w:tc>
      </w:tr>
      <w:tr w14:paraId="7B25BB3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85" w:hRule="atLeast"/>
          <w:jc w:val="center"/>
        </w:trPr>
        <w:tc>
          <w:tcPr>
            <w:tcW w:w="3156" w:type="dxa"/>
            <w:tcBorders>
              <w:top w:val="single" w:color="auto" w:sz="6" w:space="0"/>
              <w:left w:val="single" w:color="auto" w:sz="8" w:space="0"/>
              <w:bottom w:val="single" w:color="auto" w:sz="6" w:space="0"/>
              <w:right w:val="single" w:color="auto" w:sz="6" w:space="0"/>
            </w:tcBorders>
            <w:vAlign w:val="center"/>
          </w:tcPr>
          <w:p w14:paraId="3E9A90B7">
            <w:pPr>
              <w:jc w:val="center"/>
              <w:rPr>
                <w:rFonts w:hint="eastAsia" w:ascii="楷体" w:hAnsi="楷体" w:eastAsia="楷体" w:cs="楷体"/>
                <w:sz w:val="21"/>
                <w:szCs w:val="21"/>
              </w:rPr>
            </w:pPr>
            <w:r>
              <w:rPr>
                <w:rFonts w:hint="eastAsia" w:ascii="楷体" w:hAnsi="楷体" w:eastAsia="楷体" w:cs="楷体"/>
                <w:kern w:val="0"/>
                <w:sz w:val="21"/>
                <w:szCs w:val="21"/>
                <w:lang w:val="en-US" w:eastAsia="zh-CN" w:bidi="ar"/>
              </w:rPr>
              <w:t>2025.4.6—2025.4.15</w:t>
            </w:r>
          </w:p>
        </w:tc>
        <w:tc>
          <w:tcPr>
            <w:tcW w:w="6318" w:type="dxa"/>
            <w:gridSpan w:val="3"/>
            <w:tcBorders>
              <w:top w:val="single" w:color="auto" w:sz="6" w:space="0"/>
              <w:left w:val="single" w:color="auto" w:sz="6" w:space="0"/>
              <w:bottom w:val="single" w:color="auto" w:sz="6" w:space="0"/>
              <w:right w:val="single" w:color="auto" w:sz="8" w:space="0"/>
            </w:tcBorders>
            <w:vAlign w:val="center"/>
          </w:tcPr>
          <w:p w14:paraId="639DF8AD">
            <w:pPr>
              <w:jc w:val="center"/>
              <w:rPr>
                <w:rFonts w:hint="eastAsia" w:ascii="楷体" w:hAnsi="楷体" w:eastAsia="楷体" w:cs="楷体"/>
                <w:sz w:val="21"/>
                <w:szCs w:val="21"/>
              </w:rPr>
            </w:pPr>
            <w:r>
              <w:rPr>
                <w:rFonts w:hint="eastAsia" w:ascii="楷体" w:hAnsi="楷体" w:eastAsia="楷体" w:cs="楷体"/>
                <w:kern w:val="0"/>
                <w:sz w:val="21"/>
                <w:szCs w:val="21"/>
                <w:lang w:val="en-US" w:eastAsia="zh-CN" w:bidi="ar"/>
              </w:rPr>
              <w:t>打通 SAST 文件上传与 Bandit 扫描链路，完成扫描结果解析与入库；实现 DAST 任务链路及占位功能；完成中期检查相关材料。</w:t>
            </w:r>
          </w:p>
        </w:tc>
      </w:tr>
      <w:tr w14:paraId="7A718CF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85" w:hRule="atLeast"/>
          <w:jc w:val="center"/>
        </w:trPr>
        <w:tc>
          <w:tcPr>
            <w:tcW w:w="3156" w:type="dxa"/>
            <w:tcBorders>
              <w:top w:val="single" w:color="auto" w:sz="6" w:space="0"/>
              <w:left w:val="single" w:color="auto" w:sz="8" w:space="0"/>
              <w:bottom w:val="single" w:color="auto" w:sz="6" w:space="0"/>
              <w:right w:val="single" w:color="auto" w:sz="6" w:space="0"/>
            </w:tcBorders>
            <w:vAlign w:val="center"/>
          </w:tcPr>
          <w:p w14:paraId="357FB551">
            <w:pPr>
              <w:jc w:val="center"/>
              <w:rPr>
                <w:rFonts w:hint="eastAsia" w:ascii="楷体" w:hAnsi="楷体" w:eastAsia="楷体" w:cs="楷体"/>
                <w:sz w:val="21"/>
                <w:szCs w:val="21"/>
              </w:rPr>
            </w:pPr>
            <w:r>
              <w:rPr>
                <w:rFonts w:hint="eastAsia" w:ascii="楷体" w:hAnsi="楷体" w:eastAsia="楷体" w:cs="楷体"/>
                <w:sz w:val="21"/>
                <w:szCs w:val="21"/>
              </w:rPr>
              <w:t>2026.04.19-2026.05.20</w:t>
            </w:r>
          </w:p>
        </w:tc>
        <w:tc>
          <w:tcPr>
            <w:tcW w:w="6318" w:type="dxa"/>
            <w:gridSpan w:val="3"/>
            <w:tcBorders>
              <w:top w:val="single" w:color="auto" w:sz="6" w:space="0"/>
              <w:left w:val="single" w:color="auto" w:sz="6" w:space="0"/>
              <w:bottom w:val="single" w:color="auto" w:sz="6" w:space="0"/>
              <w:right w:val="single" w:color="auto" w:sz="8" w:space="0"/>
            </w:tcBorders>
            <w:vAlign w:val="center"/>
          </w:tcPr>
          <w:p w14:paraId="7F5BA90E">
            <w:pPr>
              <w:jc w:val="center"/>
              <w:rPr>
                <w:rFonts w:hint="eastAsia" w:ascii="楷体" w:hAnsi="楷体" w:eastAsia="楷体" w:cs="楷体"/>
                <w:sz w:val="21"/>
                <w:szCs w:val="21"/>
              </w:rPr>
            </w:pPr>
            <w:r>
              <w:rPr>
                <w:rFonts w:hint="eastAsia" w:ascii="楷体" w:hAnsi="楷体" w:eastAsia="楷体" w:cs="楷体"/>
                <w:kern w:val="0"/>
                <w:sz w:val="21"/>
                <w:szCs w:val="21"/>
                <w:lang w:val="en-US" w:eastAsia="zh-CN" w:bidi="ar"/>
              </w:rPr>
              <w:t>完成报告数据接口、JSON 导出、风险分布与问题类型统计等功能；进一步完善前端交互；开展实验评估、对比分析、综合测试与性能校验；同步撰写论文。</w:t>
            </w:r>
          </w:p>
        </w:tc>
      </w:tr>
      <w:tr w14:paraId="6A0B1F9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85" w:hRule="atLeast"/>
          <w:jc w:val="center"/>
        </w:trPr>
        <w:tc>
          <w:tcPr>
            <w:tcW w:w="3156" w:type="dxa"/>
            <w:tcBorders>
              <w:top w:val="single" w:color="auto" w:sz="6" w:space="0"/>
              <w:left w:val="single" w:color="auto" w:sz="8" w:space="0"/>
              <w:bottom w:val="single" w:color="auto" w:sz="6" w:space="0"/>
              <w:right w:val="single" w:color="auto" w:sz="6" w:space="0"/>
            </w:tcBorders>
            <w:vAlign w:val="center"/>
          </w:tcPr>
          <w:p w14:paraId="1DFE6248">
            <w:pPr>
              <w:jc w:val="center"/>
              <w:rPr>
                <w:rFonts w:hint="eastAsia" w:ascii="楷体" w:hAnsi="楷体" w:eastAsia="楷体" w:cs="楷体"/>
                <w:sz w:val="21"/>
                <w:szCs w:val="21"/>
              </w:rPr>
            </w:pPr>
            <w:r>
              <w:rPr>
                <w:rFonts w:hint="eastAsia" w:ascii="楷体" w:hAnsi="楷体" w:eastAsia="楷体" w:cs="楷体"/>
                <w:kern w:val="0"/>
                <w:sz w:val="21"/>
                <w:szCs w:val="21"/>
                <w:lang w:val="en-US" w:eastAsia="zh-CN" w:bidi="ar"/>
              </w:rPr>
              <w:t>2025.5.20—2025.6.8</w:t>
            </w:r>
          </w:p>
        </w:tc>
        <w:tc>
          <w:tcPr>
            <w:tcW w:w="6318" w:type="dxa"/>
            <w:gridSpan w:val="3"/>
            <w:tcBorders>
              <w:top w:val="single" w:color="auto" w:sz="6" w:space="0"/>
              <w:left w:val="single" w:color="auto" w:sz="6" w:space="0"/>
              <w:bottom w:val="single" w:color="auto" w:sz="6" w:space="0"/>
              <w:right w:val="single" w:color="auto" w:sz="8" w:space="0"/>
            </w:tcBorders>
            <w:vAlign w:val="center"/>
          </w:tcPr>
          <w:p w14:paraId="430D232C">
            <w:pPr>
              <w:jc w:val="center"/>
              <w:rPr>
                <w:rFonts w:hint="eastAsia" w:ascii="楷体" w:hAnsi="楷体" w:eastAsia="楷体" w:cs="楷体"/>
                <w:sz w:val="21"/>
                <w:szCs w:val="21"/>
              </w:rPr>
            </w:pPr>
            <w:r>
              <w:rPr>
                <w:rFonts w:hint="eastAsia" w:ascii="楷体" w:hAnsi="楷体" w:eastAsia="楷体" w:cs="楷体"/>
                <w:kern w:val="0"/>
                <w:sz w:val="21"/>
                <w:szCs w:val="21"/>
                <w:lang w:val="en-US" w:eastAsia="zh-CN" w:bidi="ar"/>
              </w:rPr>
              <w:t>对论文进行修改、补充和完善；准备答辩所需材料，包括演示文稿和汇报内容；参加毕业答辩。</w:t>
            </w:r>
          </w:p>
        </w:tc>
      </w:tr>
      <w:tr w14:paraId="58C3021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07" w:hRule="atLeast"/>
          <w:jc w:val="center"/>
        </w:trPr>
        <w:tc>
          <w:tcPr>
            <w:tcW w:w="9474" w:type="dxa"/>
            <w:gridSpan w:val="4"/>
            <w:tcBorders>
              <w:top w:val="single" w:color="auto" w:sz="6" w:space="0"/>
              <w:left w:val="single" w:color="auto" w:sz="8" w:space="0"/>
              <w:bottom w:val="single" w:color="auto" w:sz="6" w:space="0"/>
              <w:right w:val="single" w:color="auto" w:sz="8" w:space="0"/>
            </w:tcBorders>
          </w:tcPr>
          <w:p w14:paraId="241CEAC6">
            <w:pPr>
              <w:rPr>
                <w:rFonts w:hint="eastAsia" w:ascii="宋体" w:hAnsi="宋体"/>
                <w:b/>
                <w:sz w:val="24"/>
              </w:rPr>
            </w:pPr>
          </w:p>
          <w:p w14:paraId="39D6BE17">
            <w:pPr>
              <w:rPr>
                <w:b/>
                <w:szCs w:val="21"/>
              </w:rPr>
            </w:pPr>
            <w:r>
              <w:rPr>
                <w:rFonts w:hint="eastAsia" w:ascii="宋体" w:hAnsi="宋体"/>
                <w:b/>
                <w:sz w:val="24"/>
              </w:rPr>
              <w:t>指导教师意见：</w:t>
            </w:r>
          </w:p>
          <w:p w14:paraId="4563967F">
            <w:r>
              <w:rPr>
                <w:rFonts w:hint="eastAsia" w:ascii="宋体" w:hAnsi="宋体"/>
                <w:sz w:val="24"/>
              </w:rPr>
              <w:t xml:space="preserve">  </w:t>
            </w:r>
          </w:p>
          <w:p w14:paraId="1FCC9E31">
            <w:r>
              <w:rPr>
                <w:rFonts w:hint="eastAsia" w:ascii="宋体" w:hAnsi="宋体"/>
                <w:sz w:val="24"/>
              </w:rPr>
              <w:t xml:space="preserve">  </w:t>
            </w:r>
          </w:p>
          <w:p w14:paraId="155B1F4D">
            <w:r>
              <w:rPr>
                <w:rFonts w:hint="eastAsia" w:ascii="宋体" w:hAnsi="宋体"/>
                <w:sz w:val="24"/>
              </w:rPr>
              <w:t xml:space="preserve">  </w:t>
            </w:r>
          </w:p>
          <w:p w14:paraId="53784E57">
            <w:pPr>
              <w:textAlignment w:val="center"/>
              <w:rPr>
                <w:rFonts w:hint="eastAsia" w:ascii="宋体" w:hAnsi="宋体"/>
                <w:sz w:val="24"/>
              </w:rPr>
            </w:pPr>
            <w:r>
              <w:rPr>
                <w:rFonts w:hint="eastAsia" w:ascii="宋体" w:hAnsi="宋体"/>
                <w:sz w:val="24"/>
              </w:rPr>
              <w:t xml:space="preserve">                                            签名：</w:t>
            </w:r>
            <w:bookmarkStart w:id="8" w:name="jsname"/>
            <w:bookmarkEnd w:id="8"/>
            <w:r>
              <w:rPr>
                <w:rFonts w:hint="eastAsia" w:ascii="宋体" w:hAnsi="宋体"/>
                <w:sz w:val="24"/>
              </w:rPr>
              <w:t xml:space="preserve"> </w:t>
            </w:r>
          </w:p>
          <w:p w14:paraId="3AA3863B">
            <w:pPr>
              <w:textAlignment w:val="center"/>
              <w:rPr>
                <w:rFonts w:hint="eastAsia" w:ascii="宋体" w:hAnsi="宋体"/>
                <w:sz w:val="24"/>
              </w:rPr>
            </w:pPr>
          </w:p>
          <w:p w14:paraId="5A0A5D6B">
            <w:pPr>
              <w:wordWrap w:val="0"/>
              <w:ind w:right="960"/>
              <w:jc w:val="right"/>
              <w:textAlignment w:val="center"/>
              <w:rPr>
                <w:rFonts w:hint="eastAsia" w:ascii="宋体" w:hAnsi="宋体"/>
                <w:sz w:val="24"/>
              </w:rPr>
            </w:pPr>
            <w:r>
              <w:rPr>
                <w:rFonts w:hint="eastAsia" w:ascii="宋体" w:hAnsi="宋体"/>
                <w:sz w:val="24"/>
                <w:u w:val="single"/>
              </w:rPr>
              <w:t xml:space="preserve">  </w:t>
            </w:r>
            <w:bookmarkStart w:id="9" w:name="shyear"/>
            <w:bookmarkEnd w:id="9"/>
            <w:r>
              <w:rPr>
                <w:rFonts w:hint="eastAsia" w:ascii="宋体" w:hAnsi="宋体"/>
                <w:sz w:val="24"/>
                <w:u w:val="single"/>
              </w:rPr>
              <w:t xml:space="preserve">   </w:t>
            </w:r>
            <w:r>
              <w:rPr>
                <w:rFonts w:hint="eastAsia" w:ascii="宋体" w:hAnsi="宋体"/>
                <w:sz w:val="24"/>
              </w:rPr>
              <w:t>年</w:t>
            </w:r>
            <w:r>
              <w:rPr>
                <w:rFonts w:hint="eastAsia" w:ascii="宋体" w:hAnsi="宋体"/>
                <w:sz w:val="24"/>
                <w:u w:val="single"/>
              </w:rPr>
              <w:t xml:space="preserve">  </w:t>
            </w:r>
            <w:bookmarkStart w:id="10" w:name="shmonth"/>
            <w:bookmarkEnd w:id="10"/>
            <w:r>
              <w:rPr>
                <w:rFonts w:hint="eastAsia" w:ascii="宋体" w:hAnsi="宋体"/>
                <w:sz w:val="24"/>
                <w:u w:val="single"/>
              </w:rPr>
              <w:t xml:space="preserve">   </w:t>
            </w:r>
            <w:r>
              <w:rPr>
                <w:rFonts w:hint="eastAsia" w:ascii="宋体" w:hAnsi="宋体"/>
                <w:sz w:val="24"/>
              </w:rPr>
              <w:t>月</w:t>
            </w:r>
            <w:r>
              <w:rPr>
                <w:rFonts w:hint="eastAsia" w:ascii="宋体" w:hAnsi="宋体"/>
                <w:sz w:val="24"/>
                <w:u w:val="single"/>
              </w:rPr>
              <w:t xml:space="preserve">  </w:t>
            </w:r>
            <w:bookmarkStart w:id="11" w:name="shday"/>
            <w:bookmarkEnd w:id="11"/>
            <w:r>
              <w:rPr>
                <w:rFonts w:hint="eastAsia" w:ascii="宋体" w:hAnsi="宋体"/>
                <w:sz w:val="24"/>
                <w:u w:val="single"/>
              </w:rPr>
              <w:t xml:space="preserve">   </w:t>
            </w:r>
            <w:r>
              <w:rPr>
                <w:rFonts w:hint="eastAsia" w:ascii="宋体" w:hAnsi="宋体"/>
                <w:sz w:val="24"/>
              </w:rPr>
              <w:t>日</w:t>
            </w:r>
          </w:p>
          <w:p w14:paraId="612D58B1">
            <w:pPr>
              <w:ind w:right="960"/>
              <w:jc w:val="right"/>
              <w:textAlignment w:val="center"/>
              <w:rPr>
                <w:szCs w:val="21"/>
              </w:rPr>
            </w:pPr>
          </w:p>
        </w:tc>
      </w:tr>
    </w:tbl>
    <w:p w14:paraId="56A18B3F"/>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dmN2MyNTQ4OGFiMTBjZDliYjVjMWZmNjdjOTFjNGEifQ=="/>
  </w:docVars>
  <w:rsids>
    <w:rsidRoot w:val="00CB08B8"/>
    <w:rsid w:val="00006BA6"/>
    <w:rsid w:val="0007584C"/>
    <w:rsid w:val="000A23F3"/>
    <w:rsid w:val="000A6EB8"/>
    <w:rsid w:val="000B0968"/>
    <w:rsid w:val="000B2948"/>
    <w:rsid w:val="000C4F3D"/>
    <w:rsid w:val="000C50BC"/>
    <w:rsid w:val="000E7D4B"/>
    <w:rsid w:val="000F2A7C"/>
    <w:rsid w:val="00137CA6"/>
    <w:rsid w:val="0014671F"/>
    <w:rsid w:val="001674B2"/>
    <w:rsid w:val="001738FB"/>
    <w:rsid w:val="001A07F9"/>
    <w:rsid w:val="001A2BCA"/>
    <w:rsid w:val="001E2342"/>
    <w:rsid w:val="001F5B1E"/>
    <w:rsid w:val="0020205F"/>
    <w:rsid w:val="00203F77"/>
    <w:rsid w:val="0021097F"/>
    <w:rsid w:val="00232073"/>
    <w:rsid w:val="002364F2"/>
    <w:rsid w:val="00241645"/>
    <w:rsid w:val="00297655"/>
    <w:rsid w:val="002B591F"/>
    <w:rsid w:val="002B6047"/>
    <w:rsid w:val="002D4B1D"/>
    <w:rsid w:val="002D5F6F"/>
    <w:rsid w:val="003226D6"/>
    <w:rsid w:val="00346CE6"/>
    <w:rsid w:val="00387FAB"/>
    <w:rsid w:val="003E1A7F"/>
    <w:rsid w:val="003E4F85"/>
    <w:rsid w:val="003F289E"/>
    <w:rsid w:val="00402230"/>
    <w:rsid w:val="0041051C"/>
    <w:rsid w:val="00411BDA"/>
    <w:rsid w:val="00412A48"/>
    <w:rsid w:val="00434DB8"/>
    <w:rsid w:val="00440226"/>
    <w:rsid w:val="004C7337"/>
    <w:rsid w:val="004D41E5"/>
    <w:rsid w:val="0051348F"/>
    <w:rsid w:val="00517E11"/>
    <w:rsid w:val="00523D93"/>
    <w:rsid w:val="0053200B"/>
    <w:rsid w:val="00543881"/>
    <w:rsid w:val="005578AF"/>
    <w:rsid w:val="005F0AEE"/>
    <w:rsid w:val="005F5E1C"/>
    <w:rsid w:val="0060042C"/>
    <w:rsid w:val="00622E08"/>
    <w:rsid w:val="00627FBE"/>
    <w:rsid w:val="006360E8"/>
    <w:rsid w:val="00657A9C"/>
    <w:rsid w:val="00665066"/>
    <w:rsid w:val="00671FB5"/>
    <w:rsid w:val="00676921"/>
    <w:rsid w:val="0069706E"/>
    <w:rsid w:val="006B5F1E"/>
    <w:rsid w:val="006D6BD9"/>
    <w:rsid w:val="00725E34"/>
    <w:rsid w:val="00726205"/>
    <w:rsid w:val="00731137"/>
    <w:rsid w:val="00747A9B"/>
    <w:rsid w:val="007A41D5"/>
    <w:rsid w:val="007C041A"/>
    <w:rsid w:val="007C3A17"/>
    <w:rsid w:val="007E1810"/>
    <w:rsid w:val="00813328"/>
    <w:rsid w:val="00815641"/>
    <w:rsid w:val="0082387B"/>
    <w:rsid w:val="0085743E"/>
    <w:rsid w:val="00863A1B"/>
    <w:rsid w:val="0087616B"/>
    <w:rsid w:val="008A7E3E"/>
    <w:rsid w:val="008E100B"/>
    <w:rsid w:val="008E159E"/>
    <w:rsid w:val="00902125"/>
    <w:rsid w:val="00907AD7"/>
    <w:rsid w:val="009101F3"/>
    <w:rsid w:val="009341C5"/>
    <w:rsid w:val="00935651"/>
    <w:rsid w:val="00964F5F"/>
    <w:rsid w:val="009677DB"/>
    <w:rsid w:val="00974978"/>
    <w:rsid w:val="00997B25"/>
    <w:rsid w:val="009B7D9D"/>
    <w:rsid w:val="009D2669"/>
    <w:rsid w:val="009D42E1"/>
    <w:rsid w:val="009D708F"/>
    <w:rsid w:val="009E132D"/>
    <w:rsid w:val="009E477E"/>
    <w:rsid w:val="009E597C"/>
    <w:rsid w:val="00A03890"/>
    <w:rsid w:val="00A040BA"/>
    <w:rsid w:val="00A453A0"/>
    <w:rsid w:val="00A81464"/>
    <w:rsid w:val="00AC4B77"/>
    <w:rsid w:val="00AD729B"/>
    <w:rsid w:val="00AE2EAA"/>
    <w:rsid w:val="00AE5343"/>
    <w:rsid w:val="00AF009F"/>
    <w:rsid w:val="00B036AE"/>
    <w:rsid w:val="00B56265"/>
    <w:rsid w:val="00B62E26"/>
    <w:rsid w:val="00B633B9"/>
    <w:rsid w:val="00B701F7"/>
    <w:rsid w:val="00B82B44"/>
    <w:rsid w:val="00B86A73"/>
    <w:rsid w:val="00BB1ABC"/>
    <w:rsid w:val="00BB27DE"/>
    <w:rsid w:val="00BC35CF"/>
    <w:rsid w:val="00BF304C"/>
    <w:rsid w:val="00BF7F1A"/>
    <w:rsid w:val="00C14F65"/>
    <w:rsid w:val="00C35F51"/>
    <w:rsid w:val="00C40290"/>
    <w:rsid w:val="00C441AE"/>
    <w:rsid w:val="00C63983"/>
    <w:rsid w:val="00C641E9"/>
    <w:rsid w:val="00C7191B"/>
    <w:rsid w:val="00C75DF9"/>
    <w:rsid w:val="00C94EC2"/>
    <w:rsid w:val="00CA2820"/>
    <w:rsid w:val="00CA7607"/>
    <w:rsid w:val="00CB08B8"/>
    <w:rsid w:val="00CB3BFB"/>
    <w:rsid w:val="00CD272A"/>
    <w:rsid w:val="00CE5524"/>
    <w:rsid w:val="00D32715"/>
    <w:rsid w:val="00D33E07"/>
    <w:rsid w:val="00D4209E"/>
    <w:rsid w:val="00D56139"/>
    <w:rsid w:val="00D63FB0"/>
    <w:rsid w:val="00D6536E"/>
    <w:rsid w:val="00D82B18"/>
    <w:rsid w:val="00D86DF1"/>
    <w:rsid w:val="00D908B8"/>
    <w:rsid w:val="00DE2075"/>
    <w:rsid w:val="00DE37DA"/>
    <w:rsid w:val="00DF1086"/>
    <w:rsid w:val="00DF21AE"/>
    <w:rsid w:val="00DF346E"/>
    <w:rsid w:val="00E0102C"/>
    <w:rsid w:val="00E01902"/>
    <w:rsid w:val="00E02D99"/>
    <w:rsid w:val="00E53257"/>
    <w:rsid w:val="00E64856"/>
    <w:rsid w:val="00E65AB9"/>
    <w:rsid w:val="00E91BA5"/>
    <w:rsid w:val="00EA1609"/>
    <w:rsid w:val="00EB0CF0"/>
    <w:rsid w:val="00EB7EE4"/>
    <w:rsid w:val="00F16497"/>
    <w:rsid w:val="00F407B8"/>
    <w:rsid w:val="00F7300C"/>
    <w:rsid w:val="00F936EC"/>
    <w:rsid w:val="00FB7D4D"/>
    <w:rsid w:val="00FC3F0A"/>
    <w:rsid w:val="00FD6238"/>
    <w:rsid w:val="00FE3CB2"/>
    <w:rsid w:val="00FF52A8"/>
    <w:rsid w:val="010B0F67"/>
    <w:rsid w:val="01541FBE"/>
    <w:rsid w:val="01633E9B"/>
    <w:rsid w:val="017659F6"/>
    <w:rsid w:val="01DA571A"/>
    <w:rsid w:val="02071A61"/>
    <w:rsid w:val="02385AB4"/>
    <w:rsid w:val="028710B6"/>
    <w:rsid w:val="02FE1FF9"/>
    <w:rsid w:val="0327793A"/>
    <w:rsid w:val="03BF4636"/>
    <w:rsid w:val="03DD3BE6"/>
    <w:rsid w:val="046D7C52"/>
    <w:rsid w:val="04AC7736"/>
    <w:rsid w:val="05233EFD"/>
    <w:rsid w:val="052D0F89"/>
    <w:rsid w:val="064B395F"/>
    <w:rsid w:val="065B19FB"/>
    <w:rsid w:val="06AB4C7D"/>
    <w:rsid w:val="073A1069"/>
    <w:rsid w:val="07474FE1"/>
    <w:rsid w:val="078F6575"/>
    <w:rsid w:val="0795047E"/>
    <w:rsid w:val="07DD0873"/>
    <w:rsid w:val="08051A37"/>
    <w:rsid w:val="082D517A"/>
    <w:rsid w:val="08426019"/>
    <w:rsid w:val="08487F22"/>
    <w:rsid w:val="086707D7"/>
    <w:rsid w:val="086E5BE3"/>
    <w:rsid w:val="08BE6C67"/>
    <w:rsid w:val="09210F0A"/>
    <w:rsid w:val="099111BE"/>
    <w:rsid w:val="09F337E1"/>
    <w:rsid w:val="0A3F005D"/>
    <w:rsid w:val="0A616013"/>
    <w:rsid w:val="0AC9473D"/>
    <w:rsid w:val="0BBB664F"/>
    <w:rsid w:val="0BD33CF6"/>
    <w:rsid w:val="0BDB587F"/>
    <w:rsid w:val="0BEA391B"/>
    <w:rsid w:val="0BEF7DA3"/>
    <w:rsid w:val="0BFF003E"/>
    <w:rsid w:val="0D213998"/>
    <w:rsid w:val="0D296826"/>
    <w:rsid w:val="0D3600BA"/>
    <w:rsid w:val="0D460355"/>
    <w:rsid w:val="0DDB664A"/>
    <w:rsid w:val="0E19612F"/>
    <w:rsid w:val="0E581497"/>
    <w:rsid w:val="0E8B09EC"/>
    <w:rsid w:val="0EF478AD"/>
    <w:rsid w:val="0F060336"/>
    <w:rsid w:val="0F264FE7"/>
    <w:rsid w:val="0F347B80"/>
    <w:rsid w:val="0F725466"/>
    <w:rsid w:val="0F8C278D"/>
    <w:rsid w:val="0FCB1378"/>
    <w:rsid w:val="0FD30983"/>
    <w:rsid w:val="0FFC1B47"/>
    <w:rsid w:val="105015D1"/>
    <w:rsid w:val="10AB2BE5"/>
    <w:rsid w:val="110E4E87"/>
    <w:rsid w:val="11421E5E"/>
    <w:rsid w:val="11D806B7"/>
    <w:rsid w:val="125A4EAA"/>
    <w:rsid w:val="12801F96"/>
    <w:rsid w:val="132C5202"/>
    <w:rsid w:val="1340403C"/>
    <w:rsid w:val="1381018F"/>
    <w:rsid w:val="138B521B"/>
    <w:rsid w:val="13A36145"/>
    <w:rsid w:val="13D57C19"/>
    <w:rsid w:val="13E75935"/>
    <w:rsid w:val="144E65DE"/>
    <w:rsid w:val="14535E0C"/>
    <w:rsid w:val="147E4BAF"/>
    <w:rsid w:val="148A6443"/>
    <w:rsid w:val="14B66F07"/>
    <w:rsid w:val="14C72A25"/>
    <w:rsid w:val="1508348E"/>
    <w:rsid w:val="150A6991"/>
    <w:rsid w:val="15440595"/>
    <w:rsid w:val="160B1DB7"/>
    <w:rsid w:val="1635647F"/>
    <w:rsid w:val="163D5A89"/>
    <w:rsid w:val="16892685"/>
    <w:rsid w:val="16BC1BDB"/>
    <w:rsid w:val="17041FCF"/>
    <w:rsid w:val="17492AC4"/>
    <w:rsid w:val="176D617B"/>
    <w:rsid w:val="176F4F02"/>
    <w:rsid w:val="17AE026A"/>
    <w:rsid w:val="17F309B9"/>
    <w:rsid w:val="184D106D"/>
    <w:rsid w:val="1968723B"/>
    <w:rsid w:val="199F5196"/>
    <w:rsid w:val="19EE0799"/>
    <w:rsid w:val="1A1E6D69"/>
    <w:rsid w:val="1A221EEC"/>
    <w:rsid w:val="1A384090"/>
    <w:rsid w:val="1A865494"/>
    <w:rsid w:val="1AA027BB"/>
    <w:rsid w:val="1B201E0F"/>
    <w:rsid w:val="1C053387"/>
    <w:rsid w:val="1C492B76"/>
    <w:rsid w:val="1C4C3AFB"/>
    <w:rsid w:val="1C9A5DF9"/>
    <w:rsid w:val="1DCE61F5"/>
    <w:rsid w:val="1EAD7DE2"/>
    <w:rsid w:val="1F383249"/>
    <w:rsid w:val="1F5E4382"/>
    <w:rsid w:val="1FB0418D"/>
    <w:rsid w:val="1FB66096"/>
    <w:rsid w:val="1FE37E5F"/>
    <w:rsid w:val="20B31431"/>
    <w:rsid w:val="20E56788"/>
    <w:rsid w:val="214F4B32"/>
    <w:rsid w:val="21D21888"/>
    <w:rsid w:val="220E74EF"/>
    <w:rsid w:val="22551E62"/>
    <w:rsid w:val="23092C0A"/>
    <w:rsid w:val="236A2856"/>
    <w:rsid w:val="24084D2B"/>
    <w:rsid w:val="24274C3E"/>
    <w:rsid w:val="2494490F"/>
    <w:rsid w:val="24975894"/>
    <w:rsid w:val="24986B99"/>
    <w:rsid w:val="24F35FAE"/>
    <w:rsid w:val="255D7BDB"/>
    <w:rsid w:val="25760785"/>
    <w:rsid w:val="25B150E7"/>
    <w:rsid w:val="25B427E8"/>
    <w:rsid w:val="264777D9"/>
    <w:rsid w:val="265D1D80"/>
    <w:rsid w:val="26A8437A"/>
    <w:rsid w:val="26E066D3"/>
    <w:rsid w:val="26E25459"/>
    <w:rsid w:val="274057F2"/>
    <w:rsid w:val="27570C9B"/>
    <w:rsid w:val="277D7855"/>
    <w:rsid w:val="282D79F9"/>
    <w:rsid w:val="28A63E40"/>
    <w:rsid w:val="28D87E92"/>
    <w:rsid w:val="293A46B3"/>
    <w:rsid w:val="29B175E9"/>
    <w:rsid w:val="2A2036AC"/>
    <w:rsid w:val="2A691522"/>
    <w:rsid w:val="2A7356B5"/>
    <w:rsid w:val="2AAB580F"/>
    <w:rsid w:val="2ACD7048"/>
    <w:rsid w:val="2ADD3A5F"/>
    <w:rsid w:val="2B683643"/>
    <w:rsid w:val="2B9869C4"/>
    <w:rsid w:val="2BD63C77"/>
    <w:rsid w:val="2BDD3602"/>
    <w:rsid w:val="2C14155E"/>
    <w:rsid w:val="2C7460FF"/>
    <w:rsid w:val="2CB66B69"/>
    <w:rsid w:val="2CEF21C5"/>
    <w:rsid w:val="2CF653D4"/>
    <w:rsid w:val="2D067BEC"/>
    <w:rsid w:val="2D0A65F3"/>
    <w:rsid w:val="2D0C1AF6"/>
    <w:rsid w:val="2D52226A"/>
    <w:rsid w:val="2D9561D7"/>
    <w:rsid w:val="2DDE3E08"/>
    <w:rsid w:val="2EE23CF2"/>
    <w:rsid w:val="2F2C088A"/>
    <w:rsid w:val="30837B23"/>
    <w:rsid w:val="308455A5"/>
    <w:rsid w:val="31044BF9"/>
    <w:rsid w:val="31D82653"/>
    <w:rsid w:val="31F253EB"/>
    <w:rsid w:val="32724DD0"/>
    <w:rsid w:val="32D75DF9"/>
    <w:rsid w:val="33055644"/>
    <w:rsid w:val="332500F7"/>
    <w:rsid w:val="332C3305"/>
    <w:rsid w:val="3331778D"/>
    <w:rsid w:val="337201F6"/>
    <w:rsid w:val="339B13BA"/>
    <w:rsid w:val="339B5763"/>
    <w:rsid w:val="33B92B69"/>
    <w:rsid w:val="33FF10DF"/>
    <w:rsid w:val="349E1EE2"/>
    <w:rsid w:val="34F315EC"/>
    <w:rsid w:val="354C0D81"/>
    <w:rsid w:val="357850C8"/>
    <w:rsid w:val="35885E60"/>
    <w:rsid w:val="35AE7B20"/>
    <w:rsid w:val="362B4B6B"/>
    <w:rsid w:val="36430014"/>
    <w:rsid w:val="36721E82"/>
    <w:rsid w:val="36AE76C3"/>
    <w:rsid w:val="36E96223"/>
    <w:rsid w:val="3711365A"/>
    <w:rsid w:val="372D5A13"/>
    <w:rsid w:val="374024B5"/>
    <w:rsid w:val="38702BA7"/>
    <w:rsid w:val="38D812D2"/>
    <w:rsid w:val="396E39C4"/>
    <w:rsid w:val="398F2FFF"/>
    <w:rsid w:val="3A0F354D"/>
    <w:rsid w:val="3AEE2BBB"/>
    <w:rsid w:val="3B380EFD"/>
    <w:rsid w:val="3B5B576D"/>
    <w:rsid w:val="3C934571"/>
    <w:rsid w:val="3CEA16FC"/>
    <w:rsid w:val="3CEB2A01"/>
    <w:rsid w:val="3D4A2A1A"/>
    <w:rsid w:val="3D6548C9"/>
    <w:rsid w:val="3D9A7321"/>
    <w:rsid w:val="3E2326FD"/>
    <w:rsid w:val="3E8E5630"/>
    <w:rsid w:val="3E9D45C5"/>
    <w:rsid w:val="3ED76D29"/>
    <w:rsid w:val="3EE65CBF"/>
    <w:rsid w:val="3EF717DC"/>
    <w:rsid w:val="3F744629"/>
    <w:rsid w:val="3FBF1225"/>
    <w:rsid w:val="4007741B"/>
    <w:rsid w:val="40A37299"/>
    <w:rsid w:val="40CB271E"/>
    <w:rsid w:val="40F847A5"/>
    <w:rsid w:val="4172666D"/>
    <w:rsid w:val="435F4B93"/>
    <w:rsid w:val="4361189C"/>
    <w:rsid w:val="43713BB4"/>
    <w:rsid w:val="43A97591"/>
    <w:rsid w:val="44027C20"/>
    <w:rsid w:val="440E14B4"/>
    <w:rsid w:val="44C2225C"/>
    <w:rsid w:val="45513A02"/>
    <w:rsid w:val="45D668A1"/>
    <w:rsid w:val="469F3D6C"/>
    <w:rsid w:val="46B04006"/>
    <w:rsid w:val="46B34F8B"/>
    <w:rsid w:val="46C23027"/>
    <w:rsid w:val="47072496"/>
    <w:rsid w:val="47382C65"/>
    <w:rsid w:val="477914D1"/>
    <w:rsid w:val="47E75388"/>
    <w:rsid w:val="485C5346"/>
    <w:rsid w:val="48BB327E"/>
    <w:rsid w:val="48DA5C15"/>
    <w:rsid w:val="496B7702"/>
    <w:rsid w:val="49AB26EA"/>
    <w:rsid w:val="49AF10F0"/>
    <w:rsid w:val="49BE5E87"/>
    <w:rsid w:val="49FC11EF"/>
    <w:rsid w:val="4A517356"/>
    <w:rsid w:val="4A610F14"/>
    <w:rsid w:val="4A70372C"/>
    <w:rsid w:val="4A7111AE"/>
    <w:rsid w:val="4ABE12AD"/>
    <w:rsid w:val="4B423A85"/>
    <w:rsid w:val="4B431506"/>
    <w:rsid w:val="4BE44913"/>
    <w:rsid w:val="4C7B4A86"/>
    <w:rsid w:val="4D3A3BC0"/>
    <w:rsid w:val="4D517068"/>
    <w:rsid w:val="4DAA2F7A"/>
    <w:rsid w:val="4DAA76F7"/>
    <w:rsid w:val="4E177D2B"/>
    <w:rsid w:val="4E555611"/>
    <w:rsid w:val="4EB3122E"/>
    <w:rsid w:val="4ED97DE9"/>
    <w:rsid w:val="4EDE1708"/>
    <w:rsid w:val="4F593BBA"/>
    <w:rsid w:val="4F851AA7"/>
    <w:rsid w:val="4F9B372A"/>
    <w:rsid w:val="500F7E65"/>
    <w:rsid w:val="501B74FB"/>
    <w:rsid w:val="50501F54"/>
    <w:rsid w:val="50943942"/>
    <w:rsid w:val="50F11CDF"/>
    <w:rsid w:val="51A27EE5"/>
    <w:rsid w:val="51A57002"/>
    <w:rsid w:val="51E348E9"/>
    <w:rsid w:val="51EB1CF5"/>
    <w:rsid w:val="522F36E3"/>
    <w:rsid w:val="52F26CA4"/>
    <w:rsid w:val="531A7706"/>
    <w:rsid w:val="54560AEA"/>
    <w:rsid w:val="54724B97"/>
    <w:rsid w:val="54BA4091"/>
    <w:rsid w:val="551B5793"/>
    <w:rsid w:val="554B00FD"/>
    <w:rsid w:val="555D389B"/>
    <w:rsid w:val="5622235F"/>
    <w:rsid w:val="567120DE"/>
    <w:rsid w:val="56A26130"/>
    <w:rsid w:val="571921A6"/>
    <w:rsid w:val="57295110"/>
    <w:rsid w:val="57555BD4"/>
    <w:rsid w:val="576C3746"/>
    <w:rsid w:val="57805B1E"/>
    <w:rsid w:val="578135A0"/>
    <w:rsid w:val="57997401"/>
    <w:rsid w:val="585A53D8"/>
    <w:rsid w:val="5891595B"/>
    <w:rsid w:val="58B33E5A"/>
    <w:rsid w:val="58D02EC2"/>
    <w:rsid w:val="58ED49F0"/>
    <w:rsid w:val="5955699E"/>
    <w:rsid w:val="59747253"/>
    <w:rsid w:val="599F2295"/>
    <w:rsid w:val="59B36D38"/>
    <w:rsid w:val="5A4F2439"/>
    <w:rsid w:val="5A82030A"/>
    <w:rsid w:val="5A82610B"/>
    <w:rsid w:val="5A8611E7"/>
    <w:rsid w:val="5A862593"/>
    <w:rsid w:val="5C840D54"/>
    <w:rsid w:val="5CBF0F39"/>
    <w:rsid w:val="5CC70544"/>
    <w:rsid w:val="5D370C5E"/>
    <w:rsid w:val="5D7C4B6F"/>
    <w:rsid w:val="5DDE5B0D"/>
    <w:rsid w:val="5E6956F1"/>
    <w:rsid w:val="5E7D2194"/>
    <w:rsid w:val="5F220723"/>
    <w:rsid w:val="5F28262C"/>
    <w:rsid w:val="5F47185C"/>
    <w:rsid w:val="5F4E11E7"/>
    <w:rsid w:val="5F980362"/>
    <w:rsid w:val="5F9D006D"/>
    <w:rsid w:val="5FC16FA8"/>
    <w:rsid w:val="60156A32"/>
    <w:rsid w:val="60167935"/>
    <w:rsid w:val="602202C6"/>
    <w:rsid w:val="612D61FA"/>
    <w:rsid w:val="61341408"/>
    <w:rsid w:val="61526439"/>
    <w:rsid w:val="617321F1"/>
    <w:rsid w:val="61915F1E"/>
    <w:rsid w:val="624F75D6"/>
    <w:rsid w:val="6278621C"/>
    <w:rsid w:val="6315739F"/>
    <w:rsid w:val="64593FB3"/>
    <w:rsid w:val="64E01E8E"/>
    <w:rsid w:val="658D32AB"/>
    <w:rsid w:val="65954E34"/>
    <w:rsid w:val="66385942"/>
    <w:rsid w:val="6648015B"/>
    <w:rsid w:val="6684253E"/>
    <w:rsid w:val="66A178F0"/>
    <w:rsid w:val="67261D48"/>
    <w:rsid w:val="67416175"/>
    <w:rsid w:val="67C87352"/>
    <w:rsid w:val="67D11A4E"/>
    <w:rsid w:val="680B32BF"/>
    <w:rsid w:val="684678E4"/>
    <w:rsid w:val="68B74A5D"/>
    <w:rsid w:val="68DC3997"/>
    <w:rsid w:val="68E777AA"/>
    <w:rsid w:val="693B7234"/>
    <w:rsid w:val="69B30178"/>
    <w:rsid w:val="69CB10A2"/>
    <w:rsid w:val="69F021DB"/>
    <w:rsid w:val="6A790E3A"/>
    <w:rsid w:val="6AC534B8"/>
    <w:rsid w:val="6AE74CF1"/>
    <w:rsid w:val="6B3C21FD"/>
    <w:rsid w:val="6B4F341C"/>
    <w:rsid w:val="6BA01F21"/>
    <w:rsid w:val="6CC46801"/>
    <w:rsid w:val="6CC94E87"/>
    <w:rsid w:val="6DFB0A7C"/>
    <w:rsid w:val="6E9B6407"/>
    <w:rsid w:val="6E9D6087"/>
    <w:rsid w:val="6ED74F67"/>
    <w:rsid w:val="6FEC122C"/>
    <w:rsid w:val="705047D3"/>
    <w:rsid w:val="70D46FAB"/>
    <w:rsid w:val="71597204"/>
    <w:rsid w:val="72070621"/>
    <w:rsid w:val="725F0CB0"/>
    <w:rsid w:val="72737951"/>
    <w:rsid w:val="72BC104A"/>
    <w:rsid w:val="72C309D4"/>
    <w:rsid w:val="73142D5D"/>
    <w:rsid w:val="73306E0A"/>
    <w:rsid w:val="73727874"/>
    <w:rsid w:val="738E13A2"/>
    <w:rsid w:val="739E743E"/>
    <w:rsid w:val="73D47918"/>
    <w:rsid w:val="73F310C6"/>
    <w:rsid w:val="73F82FD0"/>
    <w:rsid w:val="746C550D"/>
    <w:rsid w:val="74CE55B2"/>
    <w:rsid w:val="758053D5"/>
    <w:rsid w:val="75A3688F"/>
    <w:rsid w:val="76F6623C"/>
    <w:rsid w:val="779E40CB"/>
    <w:rsid w:val="77C13258"/>
    <w:rsid w:val="77D445A5"/>
    <w:rsid w:val="77D82FAB"/>
    <w:rsid w:val="77FD31EB"/>
    <w:rsid w:val="78674E18"/>
    <w:rsid w:val="78A526FF"/>
    <w:rsid w:val="78A5756F"/>
    <w:rsid w:val="79626335"/>
    <w:rsid w:val="7A4F1436"/>
    <w:rsid w:val="7AB855E2"/>
    <w:rsid w:val="7ADC7DA0"/>
    <w:rsid w:val="7B607056"/>
    <w:rsid w:val="7BAB16F2"/>
    <w:rsid w:val="7BDB4440"/>
    <w:rsid w:val="7C456C62"/>
    <w:rsid w:val="7CAC6D16"/>
    <w:rsid w:val="7D3B0B84"/>
    <w:rsid w:val="7DF51061"/>
    <w:rsid w:val="7E0A24D6"/>
    <w:rsid w:val="7E4A54BE"/>
    <w:rsid w:val="7ECC4792"/>
    <w:rsid w:val="7ECE3519"/>
    <w:rsid w:val="7F0171EB"/>
    <w:rsid w:val="7F127358"/>
    <w:rsid w:val="7F194892"/>
    <w:rsid w:val="7FC32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iPriority="0" w:semiHidden="0" w:name="header"/>
    <w:lsdException w:qFormat="1"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43" w:firstLineChars="200"/>
      <w:jc w:val="both"/>
    </w:pPr>
    <w:rPr>
      <w:rFonts w:ascii="Times New Roman" w:hAnsi="Times New Roman" w:eastAsia="楷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0"/>
    <w:pPr>
      <w:tabs>
        <w:tab w:val="center" w:pos="4153"/>
        <w:tab w:val="right" w:pos="8306"/>
      </w:tabs>
      <w:snapToGrid w:val="0"/>
      <w:jc w:val="left"/>
    </w:pPr>
    <w:rPr>
      <w:sz w:val="18"/>
      <w:szCs w:val="18"/>
    </w:rPr>
  </w:style>
  <w:style w:type="paragraph" w:styleId="5">
    <w:name w:val="header"/>
    <w:basedOn w:val="1"/>
    <w:link w:val="9"/>
    <w:autoRedefine/>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character" w:customStyle="1" w:styleId="9">
    <w:name w:val="页眉 字符"/>
    <w:link w:val="5"/>
    <w:autoRedefine/>
    <w:qFormat/>
    <w:uiPriority w:val="0"/>
    <w:rPr>
      <w:kern w:val="2"/>
      <w:sz w:val="18"/>
      <w:szCs w:val="18"/>
    </w:rPr>
  </w:style>
  <w:style w:type="character" w:customStyle="1" w:styleId="10">
    <w:name w:val="页脚 字符"/>
    <w:link w:val="4"/>
    <w:autoRedefine/>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EBE90-88E3-450F-8693-1A87646BB957}">
  <ds:schemaRefs/>
</ds:datastoreItem>
</file>

<file path=docProps/app.xml><?xml version="1.0" encoding="utf-8"?>
<Properties xmlns="http://schemas.openxmlformats.org/officeDocument/2006/extended-properties" xmlns:vt="http://schemas.openxmlformats.org/officeDocument/2006/docPropsVTypes">
  <Template>Normal.dotm</Template>
  <Pages>4</Pages>
  <Words>3584</Words>
  <Characters>4882</Characters>
  <Lines>88</Lines>
  <Paragraphs>71</Paragraphs>
  <TotalTime>43</TotalTime>
  <ScaleCrop>false</ScaleCrop>
  <LinksUpToDate>false</LinksUpToDate>
  <CharactersWithSpaces>5237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2020-06-16T03:29:00Z</dcterms:created>
  <dc:creator>Windows User</dc:creator>
  <cp:lastModifiedBy>soki</cp:lastModifiedBy>
  <dcterms:modified xsi:type="dcterms:W3CDTF">2026-03-16T11:47:17Z</dcterms:modified>
  <dc:title>江苏大学本科生毕业论文（设计）开题报告</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67E280F775E245AC8C544CBB602F13AC_13</vt:lpwstr>
  </property>
  <property fmtid="{D5CDD505-2E9C-101B-9397-08002B2CF9AE}" pid="4" name="KSOTemplateDocerSaveRecord">
    <vt:lpwstr>eyJoZGlkIjoiOWE0MGMwYzhlNTk3NjdjMTAzOTNkZjUzNTRkMTg2ZmMiLCJ1c2VySWQiOiIxNDE0MjIxOTc3In0=</vt:lpwstr>
  </property>
</Properties>
</file>