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DA2" w:rsidRDefault="008C3E70" w:rsidP="002647D4">
      <w:pPr>
        <w:jc w:val="both"/>
      </w:pPr>
      <w:r>
        <w:t>Aufgabe 1</w:t>
      </w:r>
    </w:p>
    <w:p w:rsidR="008C3E70" w:rsidRDefault="008C3E70" w:rsidP="002647D4">
      <w:pPr>
        <w:jc w:val="both"/>
      </w:pPr>
      <w:r>
        <w:t xml:space="preserve">Das Clipping wird am kanonischen Sichtvolumen vorgenommen, weil das kanonische Sichtvolumen </w:t>
      </w:r>
      <w:r w:rsidR="00296C5B">
        <w:t>alle darzustellenden Elemente enthält und dieser aufgrund seiner Form (Würfel) sehr gut zu handhaben ist.</w:t>
      </w:r>
    </w:p>
    <w:p w:rsidR="00967BC5" w:rsidRDefault="008C3E70" w:rsidP="002647D4">
      <w:pPr>
        <w:jc w:val="both"/>
      </w:pPr>
      <w:r>
        <w:t>Aufgabe 2</w:t>
      </w:r>
    </w:p>
    <w:p w:rsidR="00C0421E" w:rsidRDefault="00B00B66" w:rsidP="002647D4">
      <w:pPr>
        <w:jc w:val="both"/>
      </w:pPr>
      <w:r>
        <w:t xml:space="preserve">Betrachten wir einen Würfel, welche ein 3x3, also 27 Teilwürfel eingeteilt wird. Der innere Würfel sei das kanonische Sichtvolumen. Jedem der Würfel lässt sich eine eindeutige sechsstellige Binärzahl zuordnen. </w:t>
      </w:r>
    </w:p>
    <w:tbl>
      <w:tblPr>
        <w:tblStyle w:val="Tabellenraster"/>
        <w:tblW w:w="0" w:type="auto"/>
        <w:tblLook w:val="04A0" w:firstRow="1" w:lastRow="0" w:firstColumn="1" w:lastColumn="0" w:noHBand="0" w:noVBand="1"/>
      </w:tblPr>
      <w:tblGrid>
        <w:gridCol w:w="886"/>
        <w:gridCol w:w="886"/>
        <w:gridCol w:w="886"/>
      </w:tblGrid>
      <w:tr w:rsidR="00B00B66" w:rsidTr="00A920C3">
        <w:tc>
          <w:tcPr>
            <w:tcW w:w="0" w:type="auto"/>
            <w:vAlign w:val="center"/>
          </w:tcPr>
          <w:p w:rsidR="00B00B66" w:rsidRDefault="00B00B66" w:rsidP="002647D4">
            <w:pPr>
              <w:jc w:val="both"/>
            </w:pPr>
            <w:r>
              <w:t>011001</w:t>
            </w:r>
          </w:p>
          <w:p w:rsidR="00B00B66" w:rsidRDefault="00B00B66" w:rsidP="002647D4">
            <w:pPr>
              <w:jc w:val="both"/>
            </w:pPr>
            <w:r>
              <w:t>HLO</w:t>
            </w:r>
          </w:p>
        </w:tc>
        <w:tc>
          <w:tcPr>
            <w:tcW w:w="0" w:type="auto"/>
            <w:vAlign w:val="center"/>
          </w:tcPr>
          <w:p w:rsidR="00B00B66" w:rsidRDefault="00B00B66" w:rsidP="002647D4">
            <w:pPr>
              <w:jc w:val="both"/>
            </w:pPr>
            <w:r>
              <w:t>010001</w:t>
            </w:r>
          </w:p>
          <w:p w:rsidR="00B00B66" w:rsidRDefault="00B00B66" w:rsidP="002647D4">
            <w:pPr>
              <w:jc w:val="both"/>
            </w:pPr>
            <w:r>
              <w:t>HO</w:t>
            </w:r>
          </w:p>
        </w:tc>
        <w:tc>
          <w:tcPr>
            <w:tcW w:w="0" w:type="auto"/>
            <w:vAlign w:val="center"/>
          </w:tcPr>
          <w:p w:rsidR="00B00B66" w:rsidRDefault="00B00B66" w:rsidP="002647D4">
            <w:pPr>
              <w:jc w:val="both"/>
            </w:pPr>
            <w:r>
              <w:t>010101</w:t>
            </w:r>
          </w:p>
          <w:p w:rsidR="00B00B66" w:rsidRDefault="00B00B66" w:rsidP="002647D4">
            <w:pPr>
              <w:jc w:val="both"/>
            </w:pPr>
            <w:r>
              <w:t>HRO</w:t>
            </w:r>
          </w:p>
        </w:tc>
      </w:tr>
      <w:tr w:rsidR="00B00B66" w:rsidTr="00A920C3">
        <w:tc>
          <w:tcPr>
            <w:tcW w:w="0" w:type="auto"/>
            <w:vAlign w:val="center"/>
          </w:tcPr>
          <w:p w:rsidR="00B00B66" w:rsidRDefault="00B00B66" w:rsidP="002647D4">
            <w:pPr>
              <w:jc w:val="both"/>
            </w:pPr>
            <w:r>
              <w:t>001000</w:t>
            </w:r>
          </w:p>
          <w:p w:rsidR="00B00B66" w:rsidRDefault="00B00B66" w:rsidP="002647D4">
            <w:pPr>
              <w:jc w:val="both"/>
            </w:pPr>
            <w:r>
              <w:t>HL</w:t>
            </w:r>
          </w:p>
        </w:tc>
        <w:tc>
          <w:tcPr>
            <w:tcW w:w="0" w:type="auto"/>
            <w:vAlign w:val="center"/>
          </w:tcPr>
          <w:p w:rsidR="00B00B66" w:rsidRDefault="00B00B66" w:rsidP="002647D4">
            <w:pPr>
              <w:jc w:val="both"/>
            </w:pPr>
            <w:r>
              <w:t>010000</w:t>
            </w:r>
          </w:p>
          <w:p w:rsidR="00B00B66" w:rsidRDefault="00B00B66" w:rsidP="002647D4">
            <w:pPr>
              <w:jc w:val="both"/>
            </w:pPr>
            <w:r>
              <w:t>H</w:t>
            </w:r>
          </w:p>
        </w:tc>
        <w:tc>
          <w:tcPr>
            <w:tcW w:w="0" w:type="auto"/>
            <w:vAlign w:val="center"/>
          </w:tcPr>
          <w:p w:rsidR="00B00B66" w:rsidRDefault="00B00B66" w:rsidP="002647D4">
            <w:pPr>
              <w:jc w:val="both"/>
            </w:pPr>
            <w:r>
              <w:t>010100</w:t>
            </w:r>
          </w:p>
          <w:p w:rsidR="00B00B66" w:rsidRDefault="00B00B66" w:rsidP="002647D4">
            <w:pPr>
              <w:jc w:val="both"/>
            </w:pPr>
            <w:r>
              <w:t>HR</w:t>
            </w:r>
          </w:p>
        </w:tc>
      </w:tr>
      <w:tr w:rsidR="00B00B66" w:rsidTr="00A920C3">
        <w:tc>
          <w:tcPr>
            <w:tcW w:w="0" w:type="auto"/>
            <w:vAlign w:val="center"/>
          </w:tcPr>
          <w:p w:rsidR="00B00B66" w:rsidRDefault="00B00B66" w:rsidP="002647D4">
            <w:pPr>
              <w:jc w:val="both"/>
            </w:pPr>
            <w:r>
              <w:t>011010</w:t>
            </w:r>
          </w:p>
          <w:p w:rsidR="00B00B66" w:rsidRDefault="00B00B66" w:rsidP="002647D4">
            <w:pPr>
              <w:jc w:val="both"/>
            </w:pPr>
            <w:r>
              <w:t>HLU</w:t>
            </w:r>
          </w:p>
        </w:tc>
        <w:tc>
          <w:tcPr>
            <w:tcW w:w="0" w:type="auto"/>
            <w:vAlign w:val="center"/>
          </w:tcPr>
          <w:p w:rsidR="00B00B66" w:rsidRDefault="00B00B66" w:rsidP="002647D4">
            <w:pPr>
              <w:jc w:val="both"/>
            </w:pPr>
            <w:r>
              <w:t>010010</w:t>
            </w:r>
          </w:p>
          <w:p w:rsidR="00B00B66" w:rsidRDefault="00B00B66" w:rsidP="002647D4">
            <w:pPr>
              <w:jc w:val="both"/>
            </w:pPr>
            <w:r>
              <w:t>HU</w:t>
            </w:r>
          </w:p>
        </w:tc>
        <w:tc>
          <w:tcPr>
            <w:tcW w:w="0" w:type="auto"/>
            <w:vAlign w:val="center"/>
          </w:tcPr>
          <w:p w:rsidR="00B00B66" w:rsidRDefault="00B00B66" w:rsidP="002647D4">
            <w:pPr>
              <w:jc w:val="both"/>
            </w:pPr>
            <w:r>
              <w:t>010110</w:t>
            </w:r>
          </w:p>
          <w:p w:rsidR="00B00B66" w:rsidRDefault="00B00B66" w:rsidP="002647D4">
            <w:pPr>
              <w:jc w:val="both"/>
            </w:pPr>
            <w:r>
              <w:t>HRU</w:t>
            </w:r>
          </w:p>
        </w:tc>
      </w:tr>
    </w:tbl>
    <w:p w:rsidR="00B00B66" w:rsidRDefault="00B00B66" w:rsidP="002647D4">
      <w:pPr>
        <w:jc w:val="both"/>
      </w:pPr>
    </w:p>
    <w:tbl>
      <w:tblPr>
        <w:tblStyle w:val="Tabellenraster"/>
        <w:tblW w:w="0" w:type="auto"/>
        <w:tblLook w:val="04A0" w:firstRow="1" w:lastRow="0" w:firstColumn="1" w:lastColumn="0" w:noHBand="0" w:noVBand="1"/>
      </w:tblPr>
      <w:tblGrid>
        <w:gridCol w:w="886"/>
        <w:gridCol w:w="886"/>
        <w:gridCol w:w="886"/>
      </w:tblGrid>
      <w:tr w:rsidR="00B00B66" w:rsidTr="00A920C3">
        <w:tc>
          <w:tcPr>
            <w:tcW w:w="0" w:type="auto"/>
            <w:vAlign w:val="center"/>
          </w:tcPr>
          <w:p w:rsidR="00B00B66" w:rsidRDefault="00B00B66" w:rsidP="002647D4">
            <w:pPr>
              <w:jc w:val="both"/>
            </w:pPr>
            <w:r>
              <w:t>001001</w:t>
            </w:r>
          </w:p>
          <w:p w:rsidR="00B00B66" w:rsidRDefault="00B00B66" w:rsidP="002647D4">
            <w:pPr>
              <w:jc w:val="both"/>
            </w:pPr>
            <w:r>
              <w:t>LO</w:t>
            </w:r>
          </w:p>
        </w:tc>
        <w:tc>
          <w:tcPr>
            <w:tcW w:w="0" w:type="auto"/>
            <w:vAlign w:val="center"/>
          </w:tcPr>
          <w:p w:rsidR="00B00B66" w:rsidRDefault="00B00B66" w:rsidP="002647D4">
            <w:pPr>
              <w:jc w:val="both"/>
            </w:pPr>
            <w:r>
              <w:t>000001</w:t>
            </w:r>
          </w:p>
          <w:p w:rsidR="00B00B66" w:rsidRDefault="00B00B66" w:rsidP="002647D4">
            <w:pPr>
              <w:jc w:val="both"/>
            </w:pPr>
            <w:r>
              <w:t>O</w:t>
            </w:r>
          </w:p>
        </w:tc>
        <w:tc>
          <w:tcPr>
            <w:tcW w:w="0" w:type="auto"/>
            <w:vAlign w:val="center"/>
          </w:tcPr>
          <w:p w:rsidR="00B00B66" w:rsidRDefault="00B00B66" w:rsidP="002647D4">
            <w:pPr>
              <w:jc w:val="both"/>
            </w:pPr>
            <w:r>
              <w:t>000101</w:t>
            </w:r>
          </w:p>
          <w:p w:rsidR="00B00B66" w:rsidRDefault="00B00B66" w:rsidP="002647D4">
            <w:pPr>
              <w:jc w:val="both"/>
            </w:pPr>
            <w:r>
              <w:t>RO</w:t>
            </w:r>
          </w:p>
        </w:tc>
      </w:tr>
      <w:tr w:rsidR="00B00B66" w:rsidTr="00A920C3">
        <w:tc>
          <w:tcPr>
            <w:tcW w:w="0" w:type="auto"/>
            <w:vAlign w:val="center"/>
          </w:tcPr>
          <w:p w:rsidR="00B00B66" w:rsidRDefault="00B00B66" w:rsidP="002647D4">
            <w:pPr>
              <w:jc w:val="both"/>
            </w:pPr>
            <w:r>
              <w:t>001000</w:t>
            </w:r>
          </w:p>
          <w:p w:rsidR="00B00B66" w:rsidRDefault="00B00B66" w:rsidP="002647D4">
            <w:pPr>
              <w:jc w:val="both"/>
            </w:pPr>
            <w:r>
              <w:t>L</w:t>
            </w:r>
          </w:p>
        </w:tc>
        <w:tc>
          <w:tcPr>
            <w:tcW w:w="0" w:type="auto"/>
            <w:vAlign w:val="center"/>
          </w:tcPr>
          <w:p w:rsidR="00B00B66" w:rsidRDefault="00B00B66" w:rsidP="002647D4">
            <w:pPr>
              <w:jc w:val="both"/>
            </w:pPr>
            <w:r>
              <w:t>000000</w:t>
            </w:r>
          </w:p>
          <w:p w:rsidR="00B00B66" w:rsidRDefault="00B00B66" w:rsidP="002647D4">
            <w:pPr>
              <w:jc w:val="both"/>
            </w:pPr>
            <w:r>
              <w:t>KSV</w:t>
            </w:r>
          </w:p>
        </w:tc>
        <w:tc>
          <w:tcPr>
            <w:tcW w:w="0" w:type="auto"/>
            <w:vAlign w:val="center"/>
          </w:tcPr>
          <w:p w:rsidR="00B00B66" w:rsidRDefault="00B00B66" w:rsidP="002647D4">
            <w:pPr>
              <w:jc w:val="both"/>
            </w:pPr>
            <w:r>
              <w:t>000100</w:t>
            </w:r>
          </w:p>
          <w:p w:rsidR="00B00B66" w:rsidRDefault="00B00B66" w:rsidP="002647D4">
            <w:pPr>
              <w:jc w:val="both"/>
            </w:pPr>
            <w:r>
              <w:t>R</w:t>
            </w:r>
          </w:p>
        </w:tc>
      </w:tr>
      <w:tr w:rsidR="00B00B66" w:rsidTr="00A920C3">
        <w:tc>
          <w:tcPr>
            <w:tcW w:w="0" w:type="auto"/>
            <w:vAlign w:val="center"/>
          </w:tcPr>
          <w:p w:rsidR="00B00B66" w:rsidRDefault="00B00B66" w:rsidP="002647D4">
            <w:pPr>
              <w:jc w:val="both"/>
            </w:pPr>
            <w:r>
              <w:t>001010</w:t>
            </w:r>
          </w:p>
          <w:p w:rsidR="00B00B66" w:rsidRDefault="00B00B66" w:rsidP="002647D4">
            <w:pPr>
              <w:jc w:val="both"/>
            </w:pPr>
            <w:r>
              <w:t>LU</w:t>
            </w:r>
          </w:p>
        </w:tc>
        <w:tc>
          <w:tcPr>
            <w:tcW w:w="0" w:type="auto"/>
            <w:vAlign w:val="center"/>
          </w:tcPr>
          <w:p w:rsidR="00B00B66" w:rsidRDefault="00B00B66" w:rsidP="002647D4">
            <w:pPr>
              <w:jc w:val="both"/>
            </w:pPr>
            <w:r>
              <w:t>000010</w:t>
            </w:r>
          </w:p>
          <w:p w:rsidR="00B00B66" w:rsidRDefault="00B00B66" w:rsidP="002647D4">
            <w:pPr>
              <w:jc w:val="both"/>
            </w:pPr>
            <w:r>
              <w:t>U</w:t>
            </w:r>
          </w:p>
        </w:tc>
        <w:tc>
          <w:tcPr>
            <w:tcW w:w="0" w:type="auto"/>
            <w:vAlign w:val="center"/>
          </w:tcPr>
          <w:p w:rsidR="00B00B66" w:rsidRDefault="00B00B66" w:rsidP="002647D4">
            <w:pPr>
              <w:jc w:val="both"/>
            </w:pPr>
            <w:r>
              <w:t>000110</w:t>
            </w:r>
          </w:p>
          <w:p w:rsidR="00B00B66" w:rsidRDefault="00B00B66" w:rsidP="002647D4">
            <w:pPr>
              <w:jc w:val="both"/>
            </w:pPr>
            <w:r>
              <w:t>RU</w:t>
            </w:r>
          </w:p>
        </w:tc>
      </w:tr>
    </w:tbl>
    <w:p w:rsidR="00B00B66" w:rsidRDefault="00B00B66" w:rsidP="002647D4">
      <w:pPr>
        <w:jc w:val="both"/>
      </w:pPr>
    </w:p>
    <w:tbl>
      <w:tblPr>
        <w:tblStyle w:val="Tabellenraster"/>
        <w:tblW w:w="0" w:type="auto"/>
        <w:tblLook w:val="04A0" w:firstRow="1" w:lastRow="0" w:firstColumn="1" w:lastColumn="0" w:noHBand="0" w:noVBand="1"/>
      </w:tblPr>
      <w:tblGrid>
        <w:gridCol w:w="886"/>
        <w:gridCol w:w="886"/>
        <w:gridCol w:w="886"/>
      </w:tblGrid>
      <w:tr w:rsidR="00B00B66" w:rsidTr="00A920C3">
        <w:tc>
          <w:tcPr>
            <w:tcW w:w="0" w:type="auto"/>
            <w:vAlign w:val="center"/>
          </w:tcPr>
          <w:p w:rsidR="00B00B66" w:rsidRDefault="00B00B66" w:rsidP="002647D4">
            <w:pPr>
              <w:jc w:val="both"/>
            </w:pPr>
            <w:r>
              <w:t>101001</w:t>
            </w:r>
          </w:p>
          <w:p w:rsidR="00B00B66" w:rsidRDefault="00B00B66" w:rsidP="002647D4">
            <w:pPr>
              <w:jc w:val="both"/>
            </w:pPr>
            <w:r>
              <w:t>VLO</w:t>
            </w:r>
          </w:p>
        </w:tc>
        <w:tc>
          <w:tcPr>
            <w:tcW w:w="0" w:type="auto"/>
            <w:vAlign w:val="center"/>
          </w:tcPr>
          <w:p w:rsidR="00B00B66" w:rsidRDefault="00B00B66" w:rsidP="002647D4">
            <w:pPr>
              <w:jc w:val="both"/>
            </w:pPr>
            <w:r>
              <w:t>100001</w:t>
            </w:r>
          </w:p>
          <w:p w:rsidR="00B00B66" w:rsidRDefault="00B00B66" w:rsidP="002647D4">
            <w:pPr>
              <w:jc w:val="both"/>
            </w:pPr>
            <w:r>
              <w:t>VO</w:t>
            </w:r>
          </w:p>
        </w:tc>
        <w:tc>
          <w:tcPr>
            <w:tcW w:w="0" w:type="auto"/>
            <w:vAlign w:val="center"/>
          </w:tcPr>
          <w:p w:rsidR="00B00B66" w:rsidRDefault="00B00B66" w:rsidP="002647D4">
            <w:pPr>
              <w:jc w:val="both"/>
            </w:pPr>
            <w:r>
              <w:t>100101</w:t>
            </w:r>
          </w:p>
          <w:p w:rsidR="00B00B66" w:rsidRDefault="00B00B66" w:rsidP="002647D4">
            <w:pPr>
              <w:jc w:val="both"/>
            </w:pPr>
            <w:r>
              <w:t>VRO</w:t>
            </w:r>
          </w:p>
        </w:tc>
      </w:tr>
      <w:tr w:rsidR="00B00B66" w:rsidTr="00A920C3">
        <w:tc>
          <w:tcPr>
            <w:tcW w:w="0" w:type="auto"/>
            <w:vAlign w:val="center"/>
          </w:tcPr>
          <w:p w:rsidR="00B00B66" w:rsidRDefault="00B00B66" w:rsidP="002647D4">
            <w:pPr>
              <w:jc w:val="both"/>
            </w:pPr>
            <w:r>
              <w:t>101000</w:t>
            </w:r>
          </w:p>
          <w:p w:rsidR="00B00B66" w:rsidRDefault="00B00B66" w:rsidP="002647D4">
            <w:pPr>
              <w:jc w:val="both"/>
            </w:pPr>
            <w:r>
              <w:t>VL</w:t>
            </w:r>
          </w:p>
        </w:tc>
        <w:tc>
          <w:tcPr>
            <w:tcW w:w="0" w:type="auto"/>
            <w:vAlign w:val="center"/>
          </w:tcPr>
          <w:p w:rsidR="00B00B66" w:rsidRDefault="00B00B66" w:rsidP="002647D4">
            <w:pPr>
              <w:jc w:val="both"/>
            </w:pPr>
            <w:r>
              <w:t>100000</w:t>
            </w:r>
          </w:p>
          <w:p w:rsidR="00B00B66" w:rsidRDefault="00B00B66" w:rsidP="002647D4">
            <w:pPr>
              <w:jc w:val="both"/>
            </w:pPr>
            <w:r>
              <w:t>V</w:t>
            </w:r>
          </w:p>
        </w:tc>
        <w:tc>
          <w:tcPr>
            <w:tcW w:w="0" w:type="auto"/>
            <w:vAlign w:val="center"/>
          </w:tcPr>
          <w:p w:rsidR="00B00B66" w:rsidRDefault="00B00B66" w:rsidP="002647D4">
            <w:pPr>
              <w:jc w:val="both"/>
            </w:pPr>
            <w:r>
              <w:t>100100</w:t>
            </w:r>
          </w:p>
          <w:p w:rsidR="00B00B66" w:rsidRDefault="00B00B66" w:rsidP="002647D4">
            <w:pPr>
              <w:jc w:val="both"/>
            </w:pPr>
            <w:r>
              <w:t>VR</w:t>
            </w:r>
          </w:p>
        </w:tc>
      </w:tr>
      <w:tr w:rsidR="00B00B66" w:rsidTr="00A920C3">
        <w:tc>
          <w:tcPr>
            <w:tcW w:w="0" w:type="auto"/>
            <w:vAlign w:val="center"/>
          </w:tcPr>
          <w:p w:rsidR="00B00B66" w:rsidRDefault="00B00B66" w:rsidP="002647D4">
            <w:pPr>
              <w:jc w:val="both"/>
            </w:pPr>
            <w:r>
              <w:t>101010</w:t>
            </w:r>
          </w:p>
          <w:p w:rsidR="00B00B66" w:rsidRDefault="00B00B66" w:rsidP="002647D4">
            <w:pPr>
              <w:jc w:val="both"/>
            </w:pPr>
            <w:r>
              <w:t>VLU</w:t>
            </w:r>
          </w:p>
        </w:tc>
        <w:tc>
          <w:tcPr>
            <w:tcW w:w="0" w:type="auto"/>
            <w:vAlign w:val="center"/>
          </w:tcPr>
          <w:p w:rsidR="00B00B66" w:rsidRDefault="00B00B66" w:rsidP="002647D4">
            <w:pPr>
              <w:jc w:val="both"/>
            </w:pPr>
            <w:r>
              <w:t>100010</w:t>
            </w:r>
          </w:p>
          <w:p w:rsidR="00B00B66" w:rsidRDefault="00B00B66" w:rsidP="002647D4">
            <w:pPr>
              <w:jc w:val="both"/>
            </w:pPr>
            <w:r>
              <w:t>VU</w:t>
            </w:r>
          </w:p>
        </w:tc>
        <w:tc>
          <w:tcPr>
            <w:tcW w:w="0" w:type="auto"/>
            <w:vAlign w:val="center"/>
          </w:tcPr>
          <w:p w:rsidR="00B00B66" w:rsidRDefault="00B00B66" w:rsidP="002647D4">
            <w:pPr>
              <w:jc w:val="both"/>
            </w:pPr>
            <w:r>
              <w:t>100110</w:t>
            </w:r>
          </w:p>
          <w:p w:rsidR="00B00B66" w:rsidRDefault="00B00B66" w:rsidP="002647D4">
            <w:pPr>
              <w:jc w:val="both"/>
            </w:pPr>
            <w:r>
              <w:t>VRU</w:t>
            </w:r>
          </w:p>
        </w:tc>
      </w:tr>
    </w:tbl>
    <w:p w:rsidR="00B00B66" w:rsidRDefault="00B00B66" w:rsidP="002647D4">
      <w:pPr>
        <w:jc w:val="both"/>
      </w:pPr>
    </w:p>
    <w:p w:rsidR="00B00B66" w:rsidRDefault="00B00B66" w:rsidP="002647D4">
      <w:pPr>
        <w:jc w:val="both"/>
      </w:pPr>
      <w:r>
        <w:t xml:space="preserve">Jede der sechs Binärziffern beschreibt, ob der zugehörige Würfel, vor oder hinter, links oder rechts, oben oder unten vom kanonischen Sichtvolumen liegt. </w:t>
      </w:r>
      <w:r w:rsidR="001A6693">
        <w:t xml:space="preserve">Das kanonische Sichtvolumen selbst weist keine dieser Richtungseigenschaften auf. </w:t>
      </w:r>
      <w:r w:rsidR="00747478">
        <w:t xml:space="preserve">Mit diesem Modell </w:t>
      </w:r>
      <w:r w:rsidR="00F91A47">
        <w:t xml:space="preserve">für den 3D-Fall kann sehr leicht die (partielle) Zugehörigkeit von Punkten, Linien und Dreiecken zum kanonischen Sichtvolumen entschieden werden, wir betrachten das Dreieck: Für alle drei Punkte des Dreiecks wird der Outcode bestimmt. Ergibt eine Veroderung aller drei Outcodes 000000, dann liegen alle drei Punkte im kanonischen Sichtvolumen, damit auch das Dreieck. Ergibt eine Verundung aller drei Outcodes nicht 000000, dann liegen keiner der Punkte und kein Teilpolygon des Dreiecks im kanonischen Sichtvolumen. Sonst liegt </w:t>
      </w:r>
      <w:r w:rsidR="002647D4">
        <w:t xml:space="preserve">möglicherweise </w:t>
      </w:r>
      <w:r w:rsidR="00F91A47">
        <w:t xml:space="preserve">ein Teil des Dreiecks im kanonischen Sichtvolumen und Clipping ist </w:t>
      </w:r>
      <w:r w:rsidR="002647D4">
        <w:t xml:space="preserve">gegebenenfalls </w:t>
      </w:r>
      <w:r w:rsidR="00F91A47">
        <w:t>erforderlich.</w:t>
      </w:r>
    </w:p>
    <w:p w:rsidR="008C3E70" w:rsidRDefault="008C3E70" w:rsidP="002647D4">
      <w:pPr>
        <w:jc w:val="both"/>
      </w:pPr>
      <w:r>
        <w:t>Aufgabe 3</w:t>
      </w:r>
    </w:p>
    <w:p w:rsidR="008C3E70" w:rsidRDefault="00324F94" w:rsidP="002647D4">
      <w:pPr>
        <w:jc w:val="both"/>
      </w:pPr>
      <w:r>
        <w:t xml:space="preserve">Das Prinzip der Dualität von Ebenen und Punkten im projektiven 3-Raum besagt, dass im projektiven 3-Raum jede korrekte Aussage über einen Punkt auch für eine Ebene gilt, und umgekehrt. Man muss in der Aussage nur den Begriff „Punkt“ durch den Begriff „Ebene“ ersetzen. Außerdem entspricht die Gerade, welche zwei Punkte verbindet, der Schnittgerade von zwei Ebenen, auch hier sind bei Aussagen die Begriffe substituierbar. </w:t>
      </w:r>
    </w:p>
    <w:p w:rsidR="00324F94" w:rsidRDefault="00324F94" w:rsidP="002647D4">
      <w:pPr>
        <w:jc w:val="both"/>
      </w:pPr>
      <w:r>
        <w:lastRenderedPageBreak/>
        <w:t>Aufgabe 4</w:t>
      </w:r>
    </w:p>
    <w:p w:rsidR="00967BC5" w:rsidRDefault="00967BC5" w:rsidP="002647D4">
      <w:pPr>
        <w:jc w:val="both"/>
      </w:pPr>
      <w:r>
        <w:t xml:space="preserve">Das Clipping </w:t>
      </w:r>
      <w:r w:rsidR="00674A90">
        <w:t xml:space="preserve">eines einfachen Polygons mit einem konvexen Polygon ist in </w:t>
      </w:r>
      <m:oMath>
        <m:r>
          <m:rPr>
            <m:scr m:val="script"/>
          </m:rPr>
          <w:rPr>
            <w:rFonts w:ascii="Cambria Math" w:hAnsi="Cambria Math"/>
          </w:rPr>
          <m:t>O</m:t>
        </m:r>
        <m:d>
          <m:dPr>
            <m:ctrlPr>
              <w:rPr>
                <w:rFonts w:ascii="Cambria Math" w:hAnsi="Cambria Math"/>
                <w:i/>
              </w:rPr>
            </m:ctrlPr>
          </m:dPr>
          <m:e>
            <m:r>
              <w:rPr>
                <w:rFonts w:ascii="Cambria Math" w:hAnsi="Cambria Math"/>
              </w:rPr>
              <m:t>n⋅m</m:t>
            </m:r>
          </m:e>
        </m:d>
      </m:oMath>
      <w:r w:rsidR="00674A90">
        <w:rPr>
          <w:rFonts w:eastAsiaTheme="minorEastAsia"/>
        </w:rPr>
        <w:t xml:space="preserve"> lösbar, </w:t>
      </w:r>
      <m:oMath>
        <m:r>
          <w:rPr>
            <w:rFonts w:ascii="Cambria Math" w:eastAsiaTheme="minorEastAsia" w:hAnsi="Cambria Math"/>
          </w:rPr>
          <m:t>n</m:t>
        </m:r>
      </m:oMath>
      <w:r w:rsidR="00674A90">
        <w:rPr>
          <w:rFonts w:eastAsiaTheme="minorEastAsia"/>
        </w:rPr>
        <w:t xml:space="preserve"> entspricht der Anzahl der Polygonkanten </w:t>
      </w:r>
      <w:r w:rsidR="00747478">
        <w:rPr>
          <w:rFonts w:eastAsiaTheme="minorEastAsia"/>
        </w:rPr>
        <w:t xml:space="preserve">des komplexen Polygons, </w:t>
      </w:r>
      <m:oMath>
        <m:r>
          <w:rPr>
            <w:rFonts w:ascii="Cambria Math" w:eastAsiaTheme="minorEastAsia" w:hAnsi="Cambria Math"/>
          </w:rPr>
          <m:t>m</m:t>
        </m:r>
      </m:oMath>
      <w:r w:rsidR="00747478">
        <w:rPr>
          <w:rFonts w:eastAsiaTheme="minorEastAsia"/>
        </w:rPr>
        <w:t xml:space="preserve"> der Anzahl der Kanten des einfachen Polygons. </w:t>
      </w:r>
      <w:r w:rsidR="009373D6">
        <w:rPr>
          <w:rFonts w:eastAsiaTheme="minorEastAsia"/>
        </w:rPr>
        <w:t>In den meisten Anwendungsfällen</w:t>
      </w:r>
      <w:r w:rsidR="00747478">
        <w:rPr>
          <w:rFonts w:eastAsiaTheme="minorEastAsia"/>
        </w:rPr>
        <w:t xml:space="preserve"> </w:t>
      </w:r>
      <w:r w:rsidR="009373D6">
        <w:rPr>
          <w:rFonts w:eastAsiaTheme="minorEastAsia"/>
        </w:rPr>
        <w:t xml:space="preserve">ist </w:t>
      </w:r>
      <m:oMath>
        <m:r>
          <w:rPr>
            <w:rFonts w:ascii="Cambria Math" w:eastAsiaTheme="minorEastAsia" w:hAnsi="Cambria Math"/>
          </w:rPr>
          <m:t>m</m:t>
        </m:r>
      </m:oMath>
      <w:r w:rsidR="00747478">
        <w:rPr>
          <w:rFonts w:eastAsiaTheme="minorEastAsia"/>
        </w:rPr>
        <w:t xml:space="preserve"> konstant, </w:t>
      </w:r>
      <w:r w:rsidR="009373D6">
        <w:rPr>
          <w:rFonts w:eastAsiaTheme="minorEastAsia"/>
        </w:rPr>
        <w:t xml:space="preserve"> dann </w:t>
      </w:r>
      <w:r w:rsidR="00747478">
        <w:rPr>
          <w:rFonts w:eastAsiaTheme="minorEastAsia"/>
        </w:rPr>
        <w:t xml:space="preserve">ist der Aufwand nur noch von </w:t>
      </w:r>
      <m:oMath>
        <m:r>
          <w:rPr>
            <w:rFonts w:ascii="Cambria Math" w:eastAsiaTheme="minorEastAsia" w:hAnsi="Cambria Math"/>
          </w:rPr>
          <m:t>n</m:t>
        </m:r>
      </m:oMath>
      <w:r w:rsidR="00747478">
        <w:rPr>
          <w:rFonts w:eastAsiaTheme="minorEastAsia"/>
        </w:rPr>
        <w:t xml:space="preserve"> abhängig und liegt in </w:t>
      </w:r>
      <m:oMath>
        <m:r>
          <m:rPr>
            <m:scr m:val="script"/>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00747478">
        <w:rPr>
          <w:rFonts w:eastAsiaTheme="minorEastAsia"/>
        </w:rPr>
        <w:t xml:space="preserve">. </w:t>
      </w:r>
      <w:r w:rsidR="00674A90">
        <w:rPr>
          <w:rFonts w:eastAsiaTheme="minorEastAsia"/>
        </w:rPr>
        <w:t>Das Problem ist somit in Linearzeit lösbar.</w:t>
      </w:r>
    </w:p>
    <w:p w:rsidR="00AD6DA3" w:rsidRDefault="008C3E70" w:rsidP="002647D4">
      <w:pPr>
        <w:jc w:val="both"/>
      </w:pPr>
      <w:r>
        <w:t>Aufgabe 5</w:t>
      </w:r>
    </w:p>
    <w:p w:rsidR="00296C5B" w:rsidRDefault="00296C5B" w:rsidP="002647D4">
      <w:pPr>
        <w:jc w:val="both"/>
      </w:pPr>
      <w:r>
        <w:t xml:space="preserve">Das Backface-Culling lässt sich sehr gut am kanonischen Sichtvolumen vornehmen, weil dieses die erforderliche Sichtrichtung </w:t>
      </w:r>
      <w:r w:rsidR="009373D6">
        <w:t xml:space="preserve">direkt </w:t>
      </w:r>
      <w:r>
        <w:t>vor</w:t>
      </w:r>
      <w:r w:rsidR="009373D6">
        <w:t xml:space="preserve">gibt. Man muss nur das Skalarprodukt der Normalen der „sehenden“ Seite des Würfels und der Normalen des Polygons betrachten. Ist </w:t>
      </w:r>
      <w:r w:rsidR="00C76BDE">
        <w:t>das Skalarprodukt größer als 0</w:t>
      </w:r>
      <w:r w:rsidR="00F955C1">
        <w:t xml:space="preserve">, </w:t>
      </w:r>
      <w:r w:rsidR="00C76BDE">
        <w:t>so ist das Polygon sichtbar, ist es kleiner als 0</w:t>
      </w:r>
      <w:r w:rsidR="00F955C1">
        <w:rPr>
          <w:rFonts w:eastAsiaTheme="minorEastAsia"/>
        </w:rPr>
        <w:t xml:space="preserve">, so ist das Polygon nicht sichtbar. </w:t>
      </w:r>
      <w:r w:rsidR="00712AC1">
        <w:rPr>
          <w:rFonts w:eastAsiaTheme="minorEastAsia"/>
        </w:rPr>
        <w:t>Das wird noch weiter vereinfacht, weil die Sichtnormale des Sichtvolumens</w:t>
      </w:r>
      <w:r w:rsidR="003D363B">
        <w:rPr>
          <w:rFonts w:eastAsiaTheme="minorEastAsia"/>
        </w:rPr>
        <w:t xml:space="preserve"> der Vektor</w:t>
      </w:r>
      <w:bookmarkStart w:id="0" w:name="_GoBack"/>
      <w:bookmarkEnd w:id="0"/>
      <w:r w:rsidR="00712AC1">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w:r w:rsidR="00712AC1">
        <w:rPr>
          <w:rFonts w:eastAsiaTheme="minorEastAsia"/>
        </w:rPr>
        <w:t xml:space="preserve"> ist, man muss also letztendlich nur das Vorzeichen der z-Koordinate des Normalenvektors des Polygons betrachten. </w:t>
      </w:r>
    </w:p>
    <w:p w:rsidR="008C3E70" w:rsidRDefault="008C3E70" w:rsidP="002647D4">
      <w:pPr>
        <w:jc w:val="both"/>
      </w:pPr>
      <w:r>
        <w:t>Aufgabe 6.a</w:t>
      </w:r>
    </w:p>
    <w:p w:rsidR="008C3E70" w:rsidRDefault="008C3E70" w:rsidP="002647D4">
      <w:pPr>
        <w:jc w:val="both"/>
      </w:pPr>
      <w:r>
        <w:t>TODO</w:t>
      </w:r>
    </w:p>
    <w:p w:rsidR="008C3E70" w:rsidRDefault="008C3E70" w:rsidP="002647D4">
      <w:pPr>
        <w:jc w:val="both"/>
      </w:pPr>
      <w:r>
        <w:t>Aufgabe 6.b</w:t>
      </w:r>
    </w:p>
    <w:p w:rsidR="008C3E70" w:rsidRDefault="008C3E70" w:rsidP="002647D4">
      <w:pPr>
        <w:jc w:val="both"/>
      </w:pPr>
      <w:r>
        <w:t>TODO</w:t>
      </w:r>
    </w:p>
    <w:sectPr w:rsidR="008C3E7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42F" w:rsidRDefault="000C542F" w:rsidP="00747478">
      <w:pPr>
        <w:spacing w:after="0" w:line="240" w:lineRule="auto"/>
      </w:pPr>
      <w:r>
        <w:separator/>
      </w:r>
    </w:p>
  </w:endnote>
  <w:endnote w:type="continuationSeparator" w:id="0">
    <w:p w:rsidR="000C542F" w:rsidRDefault="000C542F" w:rsidP="0074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42F" w:rsidRDefault="000C542F" w:rsidP="00747478">
      <w:pPr>
        <w:spacing w:after="0" w:line="240" w:lineRule="auto"/>
      </w:pPr>
      <w:r>
        <w:separator/>
      </w:r>
    </w:p>
  </w:footnote>
  <w:footnote w:type="continuationSeparator" w:id="0">
    <w:p w:rsidR="000C542F" w:rsidRDefault="000C542F" w:rsidP="007474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70"/>
    <w:rsid w:val="000C542F"/>
    <w:rsid w:val="000F2569"/>
    <w:rsid w:val="001A6693"/>
    <w:rsid w:val="002647D4"/>
    <w:rsid w:val="00296C5B"/>
    <w:rsid w:val="00324F94"/>
    <w:rsid w:val="003D363B"/>
    <w:rsid w:val="00415CF8"/>
    <w:rsid w:val="00674A90"/>
    <w:rsid w:val="006E3604"/>
    <w:rsid w:val="00712AC1"/>
    <w:rsid w:val="00747478"/>
    <w:rsid w:val="00770B5F"/>
    <w:rsid w:val="00796E09"/>
    <w:rsid w:val="008C3E70"/>
    <w:rsid w:val="009373D6"/>
    <w:rsid w:val="00967BC5"/>
    <w:rsid w:val="00AD6DA3"/>
    <w:rsid w:val="00B00B66"/>
    <w:rsid w:val="00C0421E"/>
    <w:rsid w:val="00C76BDE"/>
    <w:rsid w:val="00D528BB"/>
    <w:rsid w:val="00E56808"/>
    <w:rsid w:val="00E7422F"/>
    <w:rsid w:val="00F91A47"/>
    <w:rsid w:val="00F955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1C6D2-B30F-4CD0-A421-00572731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67BC5"/>
    <w:rPr>
      <w:color w:val="808080"/>
    </w:rPr>
  </w:style>
  <w:style w:type="table" w:styleId="Tabellenraster">
    <w:name w:val="Table Grid"/>
    <w:basedOn w:val="NormaleTabelle"/>
    <w:uiPriority w:val="39"/>
    <w:rsid w:val="00967B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7474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7478"/>
  </w:style>
  <w:style w:type="paragraph" w:styleId="Fuzeile">
    <w:name w:val="footer"/>
    <w:basedOn w:val="Standard"/>
    <w:link w:val="FuzeileZchn"/>
    <w:uiPriority w:val="99"/>
    <w:unhideWhenUsed/>
    <w:rsid w:val="007474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7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2635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Kürbis</dc:creator>
  <cp:keywords/>
  <dc:description/>
  <cp:lastModifiedBy>Michael Kürbis</cp:lastModifiedBy>
  <cp:revision>14</cp:revision>
  <dcterms:created xsi:type="dcterms:W3CDTF">2013-11-21T14:50:00Z</dcterms:created>
  <dcterms:modified xsi:type="dcterms:W3CDTF">2013-11-25T09:54:00Z</dcterms:modified>
</cp:coreProperties>
</file>