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Banner"/>
      </w:pPr>
      <w:r>
        <w:rPr>
          <w:b/>
        </w:rPr>
        <w:t xml:space="preserve">REVIEWED COPY — Contract Guard (Deskmate) found no red flags. Not legal advice; have an attorney review before signing.</w:t>
      </w:r>
    </w:p>
    <w:p>
      <w:pPr>
        <w:jc w:val="center"/>
      </w:pPr>
      <w:commentRangeStart w:id="0"/>
      <w:r>
        <w:rPr>
          <w:b/>
        </w:rPr>
        <w:t xml:space="preserve">RECRUITMENT SERVICES AGREEMENT</w:t>
      </w:r>
      <w:commentRangeEnd w:id="0"/>
      <w:r>
        <w:rPr>
          <w:rStyle w:val="CommentReference"/>
        </w:rPr>
        <w:commentReference w:id="0"/>
      </w:r>
    </w:p>
    <w:p>
      <w:r>
        <w:t xml:space="preserve">This Recruitment Services Agreement (“Agreement”) is entered into as of ____________, 2026 (the “Effective Date”) by and between Nimbus Talent Partners LLC (“Agency”) and Vertex Dynamics, Inc. (“Client”).</w:t>
      </w:r>
    </w:p>
    <w:p>
      <w:pPr>
        <w:pStyle w:val="H"/>
      </w:pPr>
      <w:r>
        <w:rPr>
          <w:b/>
        </w:rPr>
        <w:t xml:space="preserve">1. Engagement</w:t>
      </w:r>
    </w:p>
    <w:p>
      <w:r>
        <w:t xml:space="preserve">1.1  Client engages Agency on a non-exclusive basis to identify and introduce candidates (“Candidates”) for permanent positions with Client. Client may engage other agencies or source directly.</w:t>
      </w:r>
    </w:p>
    <w:p>
      <w:pPr>
        <w:pStyle w:val="H"/>
      </w:pPr>
      <w:r>
        <w:rPr>
          <w:b/>
        </w:rPr>
        <w:t xml:space="preserve">2. Fees</w:t>
      </w:r>
    </w:p>
    <w:p>
      <w:r>
        <w:t xml:space="preserve">2.1  For a successful placement, Client shall pay Agency a placement fee equal to twenty percent (20%) of the Candidate’s first-year annualised base salary, excluding bonus, commission, equity, and sign-on payments unless expressly agreed in writing.</w:t>
      </w:r>
    </w:p>
    <w:p>
      <w:r>
        <w:t xml:space="preserve">2.2  The Fee is earned on the Candidate’s start date and payable within thirty (30) days of that date, independent of any probationary period.</w:t>
      </w:r>
    </w:p>
    <w:p>
      <w:r>
        <w:t xml:space="preserve">2.3  Undisputed invoices unpaid after the due date accrue interest at 1.5% per month.</w:t>
      </w:r>
    </w:p>
    <w:p>
      <w:pPr>
        <w:pStyle w:val="H"/>
      </w:pPr>
      <w:r>
        <w:rPr>
          <w:b/>
        </w:rPr>
        <w:t xml:space="preserve">3. Replacement Guarantee</w:t>
      </w:r>
    </w:p>
    <w:p>
      <w:r>
        <w:t xml:space="preserve">3.1  If a placed Candidate leaves within ninety (90) days of their start date, Agency will provide one replacement search at no additional fee. If Agency cannot present a suitable replacement within thirty (30) days, Client is entitled to a pro-rata refund calculated as Fee × (days remaining in the guarantee period ÷ 90).</w:t>
      </w:r>
    </w:p>
    <w:p>
      <w:r>
        <w:t xml:space="preserve">3.2  The guarantee does not apply where the Candidate’s departure results from redundancy, restructuring, elimination of the role, a change in Client’s circumstances, or Client’s breach (including late payment of the Fee).</w:t>
      </w:r>
    </w:p>
    <w:p>
      <w:pPr>
        <w:pStyle w:val="H"/>
      </w:pPr>
      <w:r>
        <w:rPr>
          <w:b/>
        </w:rPr>
        <w:t xml:space="preserve">4. Candidate Ownership</w:t>
      </w:r>
    </w:p>
    <w:p>
      <w:r>
        <w:t xml:space="preserve">4.1  An introduction occurs when Agency provides Client with a Candidate’s name and CV.</w:t>
      </w:r>
    </w:p>
    <w:p>
      <w:r>
        <w:t xml:space="preserve">4.2  Where Client, or any of its affiliates, parent, or subsidiaries, employs or engages an introduced Candidate in any role within twelve (12) months of introduction, the full Fee is payable.</w:t>
      </w:r>
    </w:p>
    <w:p>
      <w:r>
        <w:t xml:space="preserve">4.3  Client shall not circumvent Agency by engaging an introduced Candidate directly or through any affiliate, parent, subsidiary, or third-party referral. This Section survives termination for twelve (12) months.</w:t>
      </w:r>
    </w:p>
    <w:p>
      <w:pPr>
        <w:pStyle w:val="H"/>
      </w:pPr>
      <w:r>
        <w:rPr>
          <w:b/>
        </w:rPr>
        <w:t xml:space="preserve">5. Liability and Indemnification</w:t>
      </w:r>
    </w:p>
    <w:p>
      <w:r>
        <w:t xml:space="preserve">5.1  Each party shall indemnify the other for losses arising from its own fraud, gross negligence, or wilful misconduct. Agency’s indemnity does not extend to a Candidate’s job performance or conduct once employed by Client.</w:t>
      </w:r>
    </w:p>
    <w:p>
      <w:r>
        <w:t xml:space="preserve">5.2  Each party’s aggregate liability under this Agreement is capped at the Fees paid for the relevant placement, except for liability arising from fraud or wilful misconduct.</w:t>
      </w:r>
    </w:p>
    <w:p>
      <w:pPr>
        <w:pStyle w:val="H"/>
      </w:pPr>
      <w:r>
        <w:rPr>
          <w:b/>
        </w:rPr>
        <w:t xml:space="preserve">6. Restrictive Covenants</w:t>
      </w:r>
    </w:p>
    <w:p>
      <w:r>
        <w:t xml:space="preserve">6.1  For twelve (12) months following a placement, Agency shall not solicit the specific Candidate it placed with Client. This does not extend to Client’s other employees, nor to candidates who approach Agency independently.</w:t>
      </w:r>
    </w:p>
    <w:p>
      <w:pPr>
        <w:pStyle w:val="H"/>
      </w:pPr>
      <w:r>
        <w:rPr>
          <w:b/>
        </w:rPr>
        <w:t xml:space="preserve">7. Term and Termination</w:t>
      </w:r>
    </w:p>
    <w:p>
      <w:r>
        <w:t xml:space="preserve">7.1  This Agreement commences on the Effective Date and continues for twelve (12) months. It renews only by written agreement of both parties.</w:t>
      </w:r>
    </w:p>
    <w:p>
      <w:r>
        <w:t xml:space="preserve">7.2  Either party may terminate on thirty (30) days’ written notice. Fee obligations for introductions made before termination survive under Section 4.</w:t>
      </w:r>
    </w:p>
    <w:p>
      <w:pPr>
        <w:pStyle w:val="H"/>
      </w:pPr>
      <w:r>
        <w:rPr>
          <w:b/>
        </w:rPr>
        <w:t xml:space="preserve">8. Assignment</w:t>
      </w:r>
    </w:p>
    <w:p>
      <w:r>
        <w:t xml:space="preserve">8.1  Neither party may assign this Agreement without the other party’s prior written consent, such consent not to be unreasonably withheld.</w:t>
      </w:r>
    </w:p>
    <w:p>
      <w:pPr>
        <w:pStyle w:val="H"/>
      </w:pPr>
      <w:r>
        <w:rPr>
          <w:b/>
        </w:rPr>
        <w:t xml:space="preserve">9. Miscellaneous</w:t>
      </w:r>
    </w:p>
    <w:p>
      <w:r>
        <w:t xml:space="preserve">9.1  This Agreement is governed by the laws of the State of Delaware.</w:t>
      </w:r>
    </w:p>
    <w:p>
      <w:r>
        <w:t xml:space="preserve">9.2  Each party shall handle candidate personal data in compliance with applicable law, including the CCPA/CPRA where relevant, and shall notify the other of any data breach affecting shared data.</w:t>
      </w:r>
    </w:p>
    <w:p>
      <w:r>
        <w:t xml:space="preserve">9.3  This Agreement constitutes the entire agreement between the parties.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Contract Guard" w:date="2026-07-10T00:00:00Z" w:initials="CG">
    <w:p>
      <w:r>
        <w:t xml:space="preserve">🟢 Contract Guard: balanced agreement — nothing here needs pushback. Every clause the library checks is present and at or better than the fair-market benchmark: fee earned on start date; 20% of first-year base; net-30 + 1.5%/mo; replacement-first, 90-day prorated guarantee with void conditions; 12-mo ownership + non-circumvent covering affiliates; capped mutual indemnity/liability; placed-only 12-mo off-limits; non-exclusive; renews only by written agreement. Not legal advice.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">
    <w:name w:val="Heading 2"/>
    <w:basedOn w:val="Normal"/>
    <w:pPr>
      <w:spacing w:before="240" w:after="60"/>
      <w:outlineLvl w:val="1"/>
    </w:pPr>
    <w:rPr>
      <w:b/>
      <w:sz w:val="24"/>
    </w:rPr>
  </w:style>
  <w:style w:type="paragraph" w:styleId="Banner">
    <w:name w:val="Banner"/>
    <w:basedOn w:val="Normal"/>
    <w:pPr>
      <w:pBdr>
        <w:bottom w:val="single" w:sz="6" w:space="4" w:color="2E7D32"/>
      </w:pBdr>
      <w:spacing w:after="240"/>
    </w:pPr>
    <w:rPr>
      <w:color w:val="2E7D32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