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B85" w:rsidRDefault="000B3B85" w:rsidP="000B3B85">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THE INDIAN PUBLIC SCHOOL       </w:t>
      </w:r>
      <w:r w:rsidRPr="00613DEC">
        <w:rPr>
          <w:rFonts w:ascii="Helvetica-Bold" w:hAnsi="Helvetica-Bold" w:cs="Helvetica-Bold"/>
          <w:bCs/>
          <w:noProof/>
        </w:rPr>
        <w:drawing>
          <wp:inline distT="0" distB="0" distL="0" distR="0">
            <wp:extent cx="1241661" cy="603849"/>
            <wp:effectExtent l="19050" t="0" r="0" b="0"/>
            <wp:docPr id="1"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4"/>
                    <a:srcRect/>
                    <a:stretch>
                      <a:fillRect/>
                    </a:stretch>
                  </pic:blipFill>
                  <pic:spPr bwMode="auto">
                    <a:xfrm>
                      <a:off x="0" y="0"/>
                      <a:ext cx="1241603" cy="603821"/>
                    </a:xfrm>
                    <a:prstGeom prst="rect">
                      <a:avLst/>
                    </a:prstGeom>
                    <a:noFill/>
                    <a:ln w="9525">
                      <a:noFill/>
                      <a:miter lim="800000"/>
                      <a:headEnd/>
                      <a:tailEnd/>
                    </a:ln>
                  </pic:spPr>
                </pic:pic>
              </a:graphicData>
            </a:graphic>
          </wp:inline>
        </w:drawing>
      </w:r>
    </w:p>
    <w:p w:rsidR="000B3B85" w:rsidRDefault="000B3B85" w:rsidP="000B3B85">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w:t>
      </w:r>
    </w:p>
    <w:p w:rsidR="000B3B85" w:rsidRPr="00613DEC" w:rsidRDefault="000B3B85" w:rsidP="000B3B85">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TOPIC- REPORT WRITING</w:t>
      </w:r>
    </w:p>
    <w:p w:rsidR="000B3B85" w:rsidRDefault="000B3B85" w:rsidP="000B3B85">
      <w:pPr>
        <w:autoSpaceDE w:val="0"/>
        <w:autoSpaceDN w:val="0"/>
        <w:adjustRightInd w:val="0"/>
        <w:spacing w:after="0" w:line="240" w:lineRule="auto"/>
        <w:rPr>
          <w:rFonts w:ascii="Helvetica-Bold" w:hAnsi="Helvetica-Bold" w:cs="Helvetica-Bold"/>
          <w:b/>
          <w:bCs/>
        </w:rPr>
      </w:pPr>
    </w:p>
    <w:p w:rsidR="000B3B85" w:rsidRDefault="000B3B85" w:rsidP="000B3B85">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GRADE-X</w:t>
      </w:r>
    </w:p>
    <w:p w:rsidR="000B3B85" w:rsidRDefault="000B3B85" w:rsidP="000B3B85">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MARK SCHEME-2</w:t>
      </w:r>
    </w:p>
    <w:p w:rsidR="000B3B85" w:rsidRDefault="000B3B85" w:rsidP="000B3B85">
      <w:pPr>
        <w:autoSpaceDE w:val="0"/>
        <w:autoSpaceDN w:val="0"/>
        <w:adjustRightInd w:val="0"/>
        <w:spacing w:after="0" w:line="240" w:lineRule="auto"/>
        <w:rPr>
          <w:rFonts w:ascii="TT14A25o00" w:hAnsi="TT14A25o00" w:cs="TT14A25o00"/>
        </w:rPr>
      </w:pPr>
      <w:r>
        <w:rPr>
          <w:rFonts w:ascii="TT14A25o00" w:hAnsi="TT14A25o00" w:cs="TT14A25o00"/>
        </w:rPr>
        <w:t>Responses might use the following ideas:</w:t>
      </w:r>
    </w:p>
    <w:p w:rsidR="000B3B85" w:rsidRDefault="000B3B85" w:rsidP="000B3B85">
      <w:pPr>
        <w:autoSpaceDE w:val="0"/>
        <w:autoSpaceDN w:val="0"/>
        <w:adjustRightInd w:val="0"/>
        <w:spacing w:after="0" w:line="240" w:lineRule="auto"/>
        <w:rPr>
          <w:rFonts w:ascii="TT14A25o00" w:hAnsi="TT14A25o00" w:cs="TT14A25o00"/>
        </w:rPr>
      </w:pPr>
    </w:p>
    <w:p w:rsidR="000B3B85" w:rsidRDefault="000B3B85" w:rsidP="000B3B85">
      <w:pPr>
        <w:autoSpaceDE w:val="0"/>
        <w:autoSpaceDN w:val="0"/>
        <w:adjustRightInd w:val="0"/>
        <w:spacing w:after="0" w:line="240" w:lineRule="auto"/>
        <w:rPr>
          <w:rFonts w:ascii="TT14A25o00" w:hAnsi="TT14A25o00" w:cs="TT14A25o00"/>
        </w:rPr>
      </w:pPr>
      <w:r>
        <w:rPr>
          <w:rFonts w:ascii="TT14A25o00" w:hAnsi="TT14A25o00" w:cs="TT14A25o00"/>
        </w:rPr>
        <w:t xml:space="preserve">A1: situation and events leading up to </w:t>
      </w:r>
      <w:proofErr w:type="spellStart"/>
      <w:r>
        <w:rPr>
          <w:rFonts w:ascii="TT14A25o00" w:hAnsi="TT14A25o00" w:cs="TT14A25o00"/>
        </w:rPr>
        <w:t>Hilyer</w:t>
      </w:r>
      <w:proofErr w:type="spellEnd"/>
      <w:r>
        <w:rPr>
          <w:rFonts w:ascii="TT14A25o00" w:hAnsi="TT14A25o00" w:cs="TT14A25o00"/>
        </w:rPr>
        <w:t xml:space="preserve"> being reported missing</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Eo00" w:hAnsi="TT14A2Eo00" w:cs="TT14A2Eo00"/>
        </w:rPr>
        <w:t xml:space="preserve">The friends were </w:t>
      </w:r>
      <w:r>
        <w:rPr>
          <w:rFonts w:ascii="TT14A25o00" w:hAnsi="TT14A25o00" w:cs="TT14A25o00"/>
        </w:rPr>
        <w:t xml:space="preserve">staying in area </w:t>
      </w:r>
      <w:r>
        <w:rPr>
          <w:rFonts w:ascii="TT14A2Eo00" w:hAnsi="TT14A2Eo00" w:cs="TT14A2Eo00"/>
        </w:rPr>
        <w:t xml:space="preserve">(det. </w:t>
      </w:r>
      <w:proofErr w:type="spellStart"/>
      <w:r>
        <w:rPr>
          <w:rFonts w:ascii="TT14A2Eo00" w:hAnsi="TT14A2Eo00" w:cs="TT14A2Eo00"/>
        </w:rPr>
        <w:t>Mrs</w:t>
      </w:r>
      <w:proofErr w:type="spellEnd"/>
      <w:r>
        <w:rPr>
          <w:rFonts w:ascii="TT14A2Eo00" w:hAnsi="TT14A2Eo00" w:cs="TT14A2Eo00"/>
        </w:rPr>
        <w:t xml:space="preserve"> Grace’s farmhouse)</w:t>
      </w:r>
    </w:p>
    <w:p w:rsidR="000B3B85" w:rsidRDefault="000B3B85" w:rsidP="000B3B85">
      <w:pPr>
        <w:autoSpaceDE w:val="0"/>
        <w:autoSpaceDN w:val="0"/>
        <w:adjustRightInd w:val="0"/>
        <w:spacing w:after="0" w:line="240" w:lineRule="auto"/>
        <w:rPr>
          <w:rFonts w:ascii="TT14A25o00" w:hAnsi="TT14A25o00" w:cs="TT14A25o00"/>
        </w:rPr>
      </w:pPr>
      <w:r>
        <w:rPr>
          <w:rFonts w:ascii="TT14A2Fo00" w:hAnsi="TT14A2Fo00" w:cs="TT14A2Fo00"/>
        </w:rPr>
        <w:t xml:space="preserve">• </w:t>
      </w:r>
      <w:r>
        <w:rPr>
          <w:rFonts w:ascii="TT14A2Eo00" w:hAnsi="TT14A2Eo00" w:cs="TT14A2Eo00"/>
        </w:rPr>
        <w:t xml:space="preserve">Planned to </w:t>
      </w:r>
      <w:r>
        <w:rPr>
          <w:rFonts w:ascii="TT14A25o00" w:hAnsi="TT14A25o00" w:cs="TT14A25o00"/>
        </w:rPr>
        <w:t>walk on the moors</w:t>
      </w:r>
    </w:p>
    <w:p w:rsidR="000B3B85" w:rsidRDefault="000B3B85" w:rsidP="000B3B85">
      <w:pPr>
        <w:autoSpaceDE w:val="0"/>
        <w:autoSpaceDN w:val="0"/>
        <w:adjustRightInd w:val="0"/>
        <w:spacing w:after="0" w:line="240" w:lineRule="auto"/>
        <w:rPr>
          <w:rFonts w:ascii="TT14A25o00" w:hAnsi="TT14A25o00" w:cs="TT14A25o00"/>
        </w:rPr>
      </w:pPr>
      <w:r>
        <w:rPr>
          <w:rFonts w:ascii="TT14A2Fo00" w:hAnsi="TT14A2Fo00" w:cs="TT14A2Fo00"/>
        </w:rPr>
        <w:t xml:space="preserve">• </w:t>
      </w:r>
      <w:r>
        <w:rPr>
          <w:rFonts w:ascii="TT14A2Eo00" w:hAnsi="TT14A2Eo00" w:cs="TT14A2Eo00"/>
        </w:rPr>
        <w:t xml:space="preserve">They </w:t>
      </w:r>
      <w:r>
        <w:rPr>
          <w:rFonts w:ascii="TT14A25o00" w:hAnsi="TT14A25o00" w:cs="TT14A25o00"/>
        </w:rPr>
        <w:t>set out together</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Eo00" w:hAnsi="TT14A2Eo00" w:cs="TT14A2Eo00"/>
        </w:rPr>
        <w:t xml:space="preserve">Anita </w:t>
      </w:r>
      <w:proofErr w:type="spellStart"/>
      <w:r>
        <w:rPr>
          <w:rFonts w:ascii="TT14A2Eo00" w:hAnsi="TT14A2Eo00" w:cs="TT14A2Eo00"/>
        </w:rPr>
        <w:t>Myborg</w:t>
      </w:r>
      <w:proofErr w:type="spellEnd"/>
      <w:r>
        <w:rPr>
          <w:rFonts w:ascii="TT14A2Eo00" w:hAnsi="TT14A2Eo00" w:cs="TT14A2Eo00"/>
        </w:rPr>
        <w:t xml:space="preserve"> </w:t>
      </w:r>
      <w:r>
        <w:rPr>
          <w:rFonts w:ascii="TT14A25o00" w:hAnsi="TT14A25o00" w:cs="TT14A25o00"/>
        </w:rPr>
        <w:t xml:space="preserve">stopped </w:t>
      </w:r>
      <w:r>
        <w:rPr>
          <w:rFonts w:ascii="TT14A2Eo00" w:hAnsi="TT14A2Eo00" w:cs="TT14A2Eo00"/>
        </w:rPr>
        <w:t>behind to look at birds (det. eagles, naturalist)</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proofErr w:type="spellStart"/>
      <w:r>
        <w:rPr>
          <w:rFonts w:ascii="TT14A2Eo00" w:hAnsi="TT14A2Eo00" w:cs="TT14A2Eo00"/>
        </w:rPr>
        <w:t>Hilyer</w:t>
      </w:r>
      <w:proofErr w:type="spellEnd"/>
      <w:r>
        <w:rPr>
          <w:rFonts w:ascii="TT14A2Eo00" w:hAnsi="TT14A2Eo00" w:cs="TT14A2Eo00"/>
        </w:rPr>
        <w:t xml:space="preserve"> and </w:t>
      </w:r>
      <w:proofErr w:type="spellStart"/>
      <w:r>
        <w:rPr>
          <w:rFonts w:ascii="TT14A2Eo00" w:hAnsi="TT14A2Eo00" w:cs="TT14A2Eo00"/>
        </w:rPr>
        <w:t>Frensham</w:t>
      </w:r>
      <w:proofErr w:type="spellEnd"/>
      <w:r>
        <w:rPr>
          <w:rFonts w:ascii="TT14A2Eo00" w:hAnsi="TT14A2Eo00" w:cs="TT14A2Eo00"/>
        </w:rPr>
        <w:t xml:space="preserve"> </w:t>
      </w:r>
      <w:r>
        <w:rPr>
          <w:rFonts w:ascii="TT14A25o00" w:hAnsi="TT14A25o00" w:cs="TT14A25o00"/>
        </w:rPr>
        <w:t xml:space="preserve">argued </w:t>
      </w:r>
      <w:r>
        <w:rPr>
          <w:rFonts w:ascii="TT14A2Eo00" w:hAnsi="TT14A2Eo00" w:cs="TT14A2Eo00"/>
        </w:rPr>
        <w:t>about which way to go</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proofErr w:type="spellStart"/>
      <w:r>
        <w:rPr>
          <w:rFonts w:ascii="TT14A2Eo00" w:hAnsi="TT14A2Eo00" w:cs="TT14A2Eo00"/>
        </w:rPr>
        <w:t>Hilyer</w:t>
      </w:r>
      <w:proofErr w:type="spellEnd"/>
      <w:r>
        <w:rPr>
          <w:rFonts w:ascii="TT14A2Eo00" w:hAnsi="TT14A2Eo00" w:cs="TT14A2Eo00"/>
        </w:rPr>
        <w:t xml:space="preserve"> </w:t>
      </w:r>
      <w:r>
        <w:rPr>
          <w:rFonts w:ascii="TT14A25o00" w:hAnsi="TT14A25o00" w:cs="TT14A25o00"/>
        </w:rPr>
        <w:t xml:space="preserve">took the path to the village </w:t>
      </w:r>
      <w:r>
        <w:rPr>
          <w:rFonts w:ascii="TT14A2Eo00" w:hAnsi="TT14A2Eo00" w:cs="TT14A2Eo00"/>
        </w:rPr>
        <w:t xml:space="preserve">of </w:t>
      </w:r>
      <w:proofErr w:type="spellStart"/>
      <w:r>
        <w:rPr>
          <w:rFonts w:ascii="TT14A2Eo00" w:hAnsi="TT14A2Eo00" w:cs="TT14A2Eo00"/>
        </w:rPr>
        <w:t>Malbrun</w:t>
      </w:r>
      <w:proofErr w:type="spellEnd"/>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Eo00" w:hAnsi="TT14A2Eo00" w:cs="TT14A2Eo00"/>
        </w:rPr>
        <w:t xml:space="preserve">Anita </w:t>
      </w:r>
      <w:proofErr w:type="spellStart"/>
      <w:r>
        <w:rPr>
          <w:rFonts w:ascii="TT14A2Eo00" w:hAnsi="TT14A2Eo00" w:cs="TT14A2Eo00"/>
        </w:rPr>
        <w:t>Myborg</w:t>
      </w:r>
      <w:proofErr w:type="spellEnd"/>
      <w:r>
        <w:rPr>
          <w:rFonts w:ascii="TT14A2Eo00" w:hAnsi="TT14A2Eo00" w:cs="TT14A2Eo00"/>
        </w:rPr>
        <w:t xml:space="preserve"> and </w:t>
      </w:r>
      <w:proofErr w:type="spellStart"/>
      <w:r>
        <w:rPr>
          <w:rFonts w:ascii="TT14A2Eo00" w:hAnsi="TT14A2Eo00" w:cs="TT14A2Eo00"/>
        </w:rPr>
        <w:t>Frensham</w:t>
      </w:r>
      <w:proofErr w:type="spellEnd"/>
      <w:r>
        <w:rPr>
          <w:rFonts w:ascii="TT14A2Eo00" w:hAnsi="TT14A2Eo00" w:cs="TT14A2Eo00"/>
        </w:rPr>
        <w:t xml:space="preserve"> </w:t>
      </w:r>
      <w:r>
        <w:rPr>
          <w:rFonts w:ascii="TT14A25o00" w:hAnsi="TT14A25o00" w:cs="TT14A25o00"/>
        </w:rPr>
        <w:t xml:space="preserve">returned separately </w:t>
      </w:r>
      <w:r>
        <w:rPr>
          <w:rFonts w:ascii="TT14A2Eo00" w:hAnsi="TT14A2Eo00" w:cs="TT14A2Eo00"/>
        </w:rPr>
        <w:t>to the farmhouse</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proofErr w:type="spellStart"/>
      <w:r>
        <w:rPr>
          <w:rFonts w:ascii="TT14A25o00" w:hAnsi="TT14A25o00" w:cs="TT14A25o00"/>
        </w:rPr>
        <w:t>Hilyer</w:t>
      </w:r>
      <w:proofErr w:type="spellEnd"/>
      <w:r>
        <w:rPr>
          <w:rFonts w:ascii="TT14A25o00" w:hAnsi="TT14A25o00" w:cs="TT14A25o00"/>
        </w:rPr>
        <w:t xml:space="preserve"> did not return </w:t>
      </w:r>
      <w:r>
        <w:rPr>
          <w:rFonts w:ascii="TT14A2Eo00" w:hAnsi="TT14A2Eo00" w:cs="TT14A2Eo00"/>
        </w:rPr>
        <w:t>and has not been found subsequently</w:t>
      </w:r>
    </w:p>
    <w:p w:rsidR="000B3B85" w:rsidRDefault="000B3B85" w:rsidP="000B3B85">
      <w:pPr>
        <w:autoSpaceDE w:val="0"/>
        <w:autoSpaceDN w:val="0"/>
        <w:adjustRightInd w:val="0"/>
        <w:spacing w:after="0" w:line="240" w:lineRule="auto"/>
        <w:rPr>
          <w:rFonts w:ascii="TT14A2Eo00" w:hAnsi="TT14A2Eo00" w:cs="TT14A2Eo00"/>
        </w:rPr>
      </w:pPr>
    </w:p>
    <w:p w:rsidR="000B3B85" w:rsidRDefault="000B3B85" w:rsidP="000B3B85">
      <w:pPr>
        <w:autoSpaceDE w:val="0"/>
        <w:autoSpaceDN w:val="0"/>
        <w:adjustRightInd w:val="0"/>
        <w:spacing w:after="0" w:line="240" w:lineRule="auto"/>
        <w:rPr>
          <w:rFonts w:ascii="TT14A25o00" w:hAnsi="TT14A25o00" w:cs="TT14A25o00"/>
        </w:rPr>
      </w:pPr>
      <w:r>
        <w:rPr>
          <w:rFonts w:ascii="TT14A25o00" w:hAnsi="TT14A25o00" w:cs="TT14A25o00"/>
        </w:rPr>
        <w:t>A2: why it might have been dangerous for a visitor to walk alone in the area (general risks)</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Lack knowledge of the area </w:t>
      </w:r>
      <w:r>
        <w:rPr>
          <w:rFonts w:ascii="TT14A2Eo00" w:hAnsi="TT14A2Eo00" w:cs="TT14A2Eo00"/>
        </w:rPr>
        <w:t>(</w:t>
      </w:r>
      <w:proofErr w:type="spellStart"/>
      <w:r>
        <w:rPr>
          <w:rFonts w:ascii="TT14A2Eo00" w:hAnsi="TT14A2Eo00" w:cs="TT14A2Eo00"/>
        </w:rPr>
        <w:t>det.marvel</w:t>
      </w:r>
      <w:proofErr w:type="spellEnd"/>
      <w:r>
        <w:rPr>
          <w:rFonts w:ascii="TT14A2Eo00" w:hAnsi="TT14A2Eo00" w:cs="TT14A2Eo00"/>
        </w:rPr>
        <w:t xml:space="preserve"> at the view) [dev. see it as picturesque rather than</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understanding</w:t>
      </w:r>
      <w:proofErr w:type="gramEnd"/>
      <w:r>
        <w:rPr>
          <w:rFonts w:ascii="TT14A2Eo00" w:hAnsi="TT14A2Eo00" w:cs="TT14A2Eo00"/>
        </w:rPr>
        <w:t xml:space="preserve"> dangers]</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Remote </w:t>
      </w:r>
      <w:r>
        <w:rPr>
          <w:rFonts w:ascii="TT14A2Eo00" w:hAnsi="TT14A2Eo00" w:cs="TT14A2Eo00"/>
        </w:rPr>
        <w:t>area (det. only one other rambler that day) [dev. would be unlikely to get help from</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passer</w:t>
      </w:r>
      <w:proofErr w:type="gramEnd"/>
      <w:r>
        <w:rPr>
          <w:rFonts w:ascii="TT14A2Eo00" w:hAnsi="TT14A2Eo00" w:cs="TT14A2Eo00"/>
        </w:rPr>
        <w:t xml:space="preserve"> by]</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Eo00" w:hAnsi="TT14A2Eo00" w:cs="TT14A2Eo00"/>
        </w:rPr>
        <w:t xml:space="preserve">Might be some </w:t>
      </w:r>
      <w:r>
        <w:rPr>
          <w:rFonts w:ascii="TT14A25o00" w:hAnsi="TT14A25o00" w:cs="TT14A25o00"/>
        </w:rPr>
        <w:t xml:space="preserve">truth in stories / </w:t>
      </w:r>
      <w:proofErr w:type="spellStart"/>
      <w:r>
        <w:rPr>
          <w:rFonts w:ascii="TT14A25o00" w:hAnsi="TT14A25o00" w:cs="TT14A25o00"/>
        </w:rPr>
        <w:t>rumours</w:t>
      </w:r>
      <w:proofErr w:type="spellEnd"/>
      <w:r>
        <w:rPr>
          <w:rFonts w:ascii="TT14A25o00" w:hAnsi="TT14A25o00" w:cs="TT14A25o00"/>
        </w:rPr>
        <w:t xml:space="preserve"> </w:t>
      </w:r>
      <w:r>
        <w:rPr>
          <w:rFonts w:ascii="TT14A2Eo00" w:hAnsi="TT14A2Eo00" w:cs="TT14A2Eo00"/>
        </w:rPr>
        <w:t xml:space="preserve">(det. bad </w:t>
      </w:r>
      <w:proofErr w:type="spellStart"/>
      <w:r>
        <w:rPr>
          <w:rFonts w:ascii="TT14A2Eo00" w:hAnsi="TT14A2Eo00" w:cs="TT14A2Eo00"/>
        </w:rPr>
        <w:t>village</w:t>
      </w:r>
      <w:proofErr w:type="gramStart"/>
      <w:r>
        <w:rPr>
          <w:rFonts w:ascii="TT14A2Eo00" w:hAnsi="TT14A2Eo00" w:cs="TT14A2Eo00"/>
        </w:rPr>
        <w:t>,full</w:t>
      </w:r>
      <w:proofErr w:type="spellEnd"/>
      <w:proofErr w:type="gramEnd"/>
      <w:r>
        <w:rPr>
          <w:rFonts w:ascii="TT14A2Eo00" w:hAnsi="TT14A2Eo00" w:cs="TT14A2Eo00"/>
        </w:rPr>
        <w:t xml:space="preserve"> of dangerous animals)</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Natural hazards </w:t>
      </w:r>
      <w:r>
        <w:rPr>
          <w:rFonts w:ascii="TT14A2Eo00" w:hAnsi="TT14A2Eo00" w:cs="TT14A2Eo00"/>
        </w:rPr>
        <w:t>– allow examples height of path / steep cliff one side / area of forest</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Difficult to navigate </w:t>
      </w:r>
      <w:r>
        <w:rPr>
          <w:rFonts w:ascii="TT14A2Eo00" w:hAnsi="TT14A2Eo00" w:cs="TT14A2Eo00"/>
        </w:rPr>
        <w:t xml:space="preserve">/ </w:t>
      </w:r>
      <w:r>
        <w:rPr>
          <w:rFonts w:ascii="TT14A25o00" w:hAnsi="TT14A25o00" w:cs="TT14A25o00"/>
        </w:rPr>
        <w:t xml:space="preserve">might lose way </w:t>
      </w:r>
      <w:r>
        <w:rPr>
          <w:rFonts w:ascii="TT14A2Eo00" w:hAnsi="TT14A2Eo00" w:cs="TT14A2Eo00"/>
        </w:rPr>
        <w:t>easily (det. grey hills all look same, paths that lead</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nowhere</w:t>
      </w:r>
      <w:proofErr w:type="gramEnd"/>
      <w:r>
        <w:rPr>
          <w:rFonts w:ascii="TT14A2Eo00" w:hAnsi="TT14A2Eo00" w:cs="TT14A2Eo00"/>
        </w:rPr>
        <w:t>)</w:t>
      </w:r>
    </w:p>
    <w:p w:rsidR="000B3B85" w:rsidRDefault="000B3B85" w:rsidP="000B3B85">
      <w:pPr>
        <w:autoSpaceDE w:val="0"/>
        <w:autoSpaceDN w:val="0"/>
        <w:adjustRightInd w:val="0"/>
        <w:spacing w:after="0" w:line="240" w:lineRule="auto"/>
        <w:rPr>
          <w:rFonts w:ascii="TT14A2Eo00" w:hAnsi="TT14A2Eo00" w:cs="TT14A2Eo00"/>
        </w:rPr>
      </w:pPr>
    </w:p>
    <w:p w:rsidR="000B3B85" w:rsidRDefault="000B3B85" w:rsidP="000B3B85">
      <w:pPr>
        <w:autoSpaceDE w:val="0"/>
        <w:autoSpaceDN w:val="0"/>
        <w:adjustRightInd w:val="0"/>
        <w:spacing w:after="0" w:line="240" w:lineRule="auto"/>
        <w:rPr>
          <w:rFonts w:ascii="TT14A2Eo00" w:hAnsi="TT14A2Eo00" w:cs="TT14A2Eo00"/>
        </w:rPr>
      </w:pPr>
      <w:r>
        <w:rPr>
          <w:rFonts w:ascii="TT14A2Eo00" w:hAnsi="TT14A2Eo00" w:cs="TT14A2Eo00"/>
        </w:rPr>
        <w:t>Note: some candidates may suppose that the reporter visits the area and makes inferences about the village, using the evidence in the passage.</w:t>
      </w:r>
    </w:p>
    <w:p w:rsidR="000B3B85" w:rsidRDefault="000B3B85" w:rsidP="000B3B85">
      <w:pPr>
        <w:autoSpaceDE w:val="0"/>
        <w:autoSpaceDN w:val="0"/>
        <w:adjustRightInd w:val="0"/>
        <w:spacing w:after="0" w:line="240" w:lineRule="auto"/>
        <w:rPr>
          <w:rFonts w:ascii="TT14A2Eo00" w:hAnsi="TT14A2Eo00" w:cs="TT14A2Eo00"/>
        </w:rPr>
      </w:pPr>
    </w:p>
    <w:p w:rsidR="000B3B85" w:rsidRDefault="000B3B85" w:rsidP="000B3B85">
      <w:pPr>
        <w:autoSpaceDE w:val="0"/>
        <w:autoSpaceDN w:val="0"/>
        <w:adjustRightInd w:val="0"/>
        <w:spacing w:after="0" w:line="240" w:lineRule="auto"/>
        <w:rPr>
          <w:rFonts w:ascii="TT14A25o00" w:hAnsi="TT14A25o00" w:cs="TT14A25o00"/>
        </w:rPr>
      </w:pPr>
      <w:r>
        <w:rPr>
          <w:rFonts w:ascii="TT14A25o00" w:hAnsi="TT14A25o00" w:cs="TT14A25o00"/>
        </w:rPr>
        <w:t xml:space="preserve">A3: the other theories people you interviewed might have about what happened to </w:t>
      </w:r>
      <w:proofErr w:type="spellStart"/>
      <w:r>
        <w:rPr>
          <w:rFonts w:ascii="TT14A25o00" w:hAnsi="TT14A25o00" w:cs="TT14A25o00"/>
        </w:rPr>
        <w:t>Hilyer</w:t>
      </w:r>
      <w:proofErr w:type="spellEnd"/>
    </w:p>
    <w:p w:rsidR="000B3B85" w:rsidRDefault="000B3B85" w:rsidP="000B3B85">
      <w:pPr>
        <w:autoSpaceDE w:val="0"/>
        <w:autoSpaceDN w:val="0"/>
        <w:adjustRightInd w:val="0"/>
        <w:spacing w:after="0" w:line="240" w:lineRule="auto"/>
        <w:rPr>
          <w:rFonts w:ascii="TT14A25o00" w:hAnsi="TT14A25o00" w:cs="TT14A25o00"/>
        </w:rPr>
      </w:pPr>
      <w:r>
        <w:rPr>
          <w:rFonts w:ascii="TT14A25o00" w:hAnsi="TT14A25o00" w:cs="TT14A25o00"/>
        </w:rPr>
        <w:t>(</w:t>
      </w:r>
      <w:proofErr w:type="gramStart"/>
      <w:r>
        <w:rPr>
          <w:rFonts w:ascii="TT14A25o00" w:hAnsi="TT14A25o00" w:cs="TT14A25o00"/>
        </w:rPr>
        <w:t>specific</w:t>
      </w:r>
      <w:proofErr w:type="gramEnd"/>
      <w:r>
        <w:rPr>
          <w:rFonts w:ascii="TT14A25o00" w:hAnsi="TT14A25o00" w:cs="TT14A25o00"/>
        </w:rPr>
        <w:t xml:space="preserve"> theories)</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5o00" w:hAnsi="TT14A25o00" w:cs="TT14A25o00"/>
        </w:rPr>
        <w:t>theories</w:t>
      </w:r>
      <w:proofErr w:type="gramEnd"/>
      <w:r>
        <w:rPr>
          <w:rFonts w:ascii="TT14A25o00" w:hAnsi="TT14A25o00" w:cs="TT14A25o00"/>
        </w:rPr>
        <w:t xml:space="preserve"> </w:t>
      </w:r>
      <w:r>
        <w:rPr>
          <w:rFonts w:ascii="TT14A2Eo00" w:hAnsi="TT14A2Eo00" w:cs="TT14A2Eo00"/>
        </w:rPr>
        <w:t>might include :</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proofErr w:type="gramStart"/>
      <w:r>
        <w:rPr>
          <w:rFonts w:ascii="TT14A25o00" w:hAnsi="TT14A25o00" w:cs="TT14A25o00"/>
        </w:rPr>
        <w:t>abduction</w:t>
      </w:r>
      <w:proofErr w:type="gramEnd"/>
      <w:r>
        <w:rPr>
          <w:rFonts w:ascii="TT14A25o00" w:hAnsi="TT14A25o00" w:cs="TT14A25o00"/>
        </w:rPr>
        <w:t xml:space="preserve"> </w:t>
      </w:r>
      <w:r>
        <w:rPr>
          <w:rFonts w:ascii="TT14A2Eo00" w:hAnsi="TT14A2Eo00" w:cs="TT14A2Eo00"/>
        </w:rPr>
        <w:t>(by UFO) / captured / imprisoned (det. strangers on path, lights at night, young man</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locked</w:t>
      </w:r>
      <w:proofErr w:type="gramEnd"/>
      <w:r>
        <w:rPr>
          <w:rFonts w:ascii="TT14A2Eo00" w:hAnsi="TT14A2Eo00" w:cs="TT14A2Eo00"/>
        </w:rPr>
        <w:t xml:space="preserve"> up)</w:t>
      </w:r>
    </w:p>
    <w:p w:rsidR="000B3B85" w:rsidRDefault="000B3B85" w:rsidP="000B3B85">
      <w:pPr>
        <w:autoSpaceDE w:val="0"/>
        <w:autoSpaceDN w:val="0"/>
        <w:adjustRightInd w:val="0"/>
        <w:spacing w:after="0" w:line="240" w:lineRule="auto"/>
        <w:rPr>
          <w:rFonts w:ascii="TT14A25o00" w:hAnsi="TT14A25o00" w:cs="TT14A25o00"/>
        </w:rPr>
      </w:pPr>
      <w:r>
        <w:rPr>
          <w:rFonts w:ascii="TT14A2Fo00" w:hAnsi="TT14A2Fo00" w:cs="TT14A2Fo00"/>
        </w:rPr>
        <w:t xml:space="preserve">• </w:t>
      </w:r>
      <w:r>
        <w:rPr>
          <w:rFonts w:ascii="TT14A25o00" w:hAnsi="TT14A25o00" w:cs="TT14A25o00"/>
        </w:rPr>
        <w:t>attacked by animals</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proofErr w:type="gramStart"/>
      <w:r>
        <w:rPr>
          <w:rFonts w:ascii="TT14A25o00" w:hAnsi="TT14A25o00" w:cs="TT14A25o00"/>
        </w:rPr>
        <w:t>accident</w:t>
      </w:r>
      <w:proofErr w:type="gramEnd"/>
      <w:r>
        <w:rPr>
          <w:rFonts w:ascii="TT14A25o00" w:hAnsi="TT14A25o00" w:cs="TT14A25o00"/>
        </w:rPr>
        <w:t xml:space="preserve"> </w:t>
      </w:r>
      <w:r>
        <w:rPr>
          <w:rFonts w:ascii="TT14A2Eo00" w:hAnsi="TT14A2Eo00" w:cs="TT14A2Eo00"/>
        </w:rPr>
        <w:t>e.g. drowned det. sudden deep water (det. warned him not to go)</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lost his way </w:t>
      </w:r>
      <w:r>
        <w:rPr>
          <w:rFonts w:ascii="TT14A2Eo00" w:hAnsi="TT14A2Eo00" w:cs="TT14A2Eo00"/>
        </w:rPr>
        <w:t>forest (det. paths that lead nowhere, reference to map)</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found something he shouldn’t </w:t>
      </w:r>
      <w:r>
        <w:rPr>
          <w:rFonts w:ascii="TT14A2Eo00" w:hAnsi="TT14A2Eo00" w:cs="TT14A2Eo00"/>
        </w:rPr>
        <w:t>allow reference to military installation (det. high wire fence plus</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visiting</w:t>
      </w:r>
      <w:proofErr w:type="gramEnd"/>
      <w:r>
        <w:rPr>
          <w:rFonts w:ascii="TT14A2Eo00" w:hAnsi="TT14A2Eo00" w:cs="TT14A2Eo00"/>
        </w:rPr>
        <w:t xml:space="preserve"> journalist might discover further details in the village) [dev ‘keeping people out for a</w:t>
      </w:r>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reason</w:t>
      </w:r>
      <w:proofErr w:type="gramEnd"/>
      <w:r>
        <w:rPr>
          <w:rFonts w:ascii="TT14A2Eo00" w:hAnsi="TT14A2Eo00" w:cs="TT14A2Eo00"/>
        </w:rPr>
        <w:t>’ / implication of cover up / inferences as to why the police officer appears unhelpful]</w:t>
      </w:r>
    </w:p>
    <w:p w:rsidR="000B3B85" w:rsidRDefault="000B3B85" w:rsidP="000B3B85">
      <w:pPr>
        <w:autoSpaceDE w:val="0"/>
        <w:autoSpaceDN w:val="0"/>
        <w:adjustRightInd w:val="0"/>
        <w:spacing w:after="0" w:line="240" w:lineRule="auto"/>
        <w:rPr>
          <w:rFonts w:ascii="TT14A2Eo00" w:hAnsi="TT14A2Eo00" w:cs="TT14A2Eo00"/>
        </w:rPr>
      </w:pPr>
      <w:r>
        <w:rPr>
          <w:rFonts w:ascii="TT14A2Fo00" w:hAnsi="TT14A2Fo00" w:cs="TT14A2Fo00"/>
        </w:rPr>
        <w:t xml:space="preserve">• </w:t>
      </w:r>
      <w:r>
        <w:rPr>
          <w:rFonts w:ascii="TT14A25o00" w:hAnsi="TT14A25o00" w:cs="TT14A25o00"/>
        </w:rPr>
        <w:t xml:space="preserve">shot </w:t>
      </w:r>
      <w:r>
        <w:rPr>
          <w:rFonts w:ascii="TT14A2Eo00" w:hAnsi="TT14A2Eo00" w:cs="TT14A2Eo00"/>
        </w:rPr>
        <w:t>(det. sounds of gunshots / military installation)</w:t>
      </w:r>
    </w:p>
    <w:p w:rsidR="000B3B85" w:rsidRDefault="000B3B85" w:rsidP="000B3B85">
      <w:pPr>
        <w:autoSpaceDE w:val="0"/>
        <w:autoSpaceDN w:val="0"/>
        <w:adjustRightInd w:val="0"/>
        <w:spacing w:after="0" w:line="240" w:lineRule="auto"/>
        <w:rPr>
          <w:rFonts w:ascii="TT14A25o00" w:hAnsi="TT14A25o00" w:cs="TT14A25o00"/>
        </w:rPr>
      </w:pPr>
      <w:r>
        <w:rPr>
          <w:rFonts w:ascii="TT14A2Fo00" w:hAnsi="TT14A2Fo00" w:cs="TT14A2Fo00"/>
        </w:rPr>
        <w:t xml:space="preserve">• </w:t>
      </w:r>
      <w:proofErr w:type="gramStart"/>
      <w:r>
        <w:rPr>
          <w:rFonts w:ascii="TT14A25o00" w:hAnsi="TT14A25o00" w:cs="TT14A25o00"/>
        </w:rPr>
        <w:t>someone</w:t>
      </w:r>
      <w:proofErr w:type="gramEnd"/>
      <w:r>
        <w:rPr>
          <w:rFonts w:ascii="TT14A25o00" w:hAnsi="TT14A25o00" w:cs="TT14A25o00"/>
        </w:rPr>
        <w:t xml:space="preserve"> else involved</w:t>
      </w:r>
    </w:p>
    <w:p w:rsidR="000B3B85" w:rsidRDefault="000B3B85" w:rsidP="000B3B85">
      <w:pPr>
        <w:autoSpaceDE w:val="0"/>
        <w:autoSpaceDN w:val="0"/>
        <w:adjustRightInd w:val="0"/>
        <w:spacing w:after="0" w:line="240" w:lineRule="auto"/>
        <w:rPr>
          <w:rFonts w:ascii="TT14A2Eo00" w:hAnsi="TT14A2Eo00" w:cs="TT14A2Eo00"/>
        </w:rPr>
      </w:pPr>
      <w:r>
        <w:rPr>
          <w:rFonts w:ascii="TT14A2Eo00" w:hAnsi="TT14A2Eo00" w:cs="TT14A2Eo00"/>
        </w:rPr>
        <w:t xml:space="preserve">e.g. ‘rambler’ might not have been innocent / might have attacked </w:t>
      </w:r>
      <w:proofErr w:type="spellStart"/>
      <w:r>
        <w:rPr>
          <w:rFonts w:ascii="TT14A2Eo00" w:hAnsi="TT14A2Eo00" w:cs="TT14A2Eo00"/>
        </w:rPr>
        <w:t>Hilyer</w:t>
      </w:r>
      <w:proofErr w:type="spellEnd"/>
    </w:p>
    <w:p w:rsidR="000B3B85" w:rsidRDefault="000B3B85" w:rsidP="000B3B85">
      <w:pPr>
        <w:autoSpaceDE w:val="0"/>
        <w:autoSpaceDN w:val="0"/>
        <w:adjustRightInd w:val="0"/>
        <w:spacing w:after="0" w:line="240" w:lineRule="auto"/>
        <w:rPr>
          <w:rFonts w:ascii="TT14A2Eo00" w:hAnsi="TT14A2Eo00" w:cs="TT14A2Eo00"/>
        </w:rPr>
      </w:pPr>
      <w:proofErr w:type="gramStart"/>
      <w:r>
        <w:rPr>
          <w:rFonts w:ascii="TT14A2Eo00" w:hAnsi="TT14A2Eo00" w:cs="TT14A2Eo00"/>
        </w:rPr>
        <w:t>e.g</w:t>
      </w:r>
      <w:proofErr w:type="gramEnd"/>
      <w:r>
        <w:rPr>
          <w:rFonts w:ascii="TT14A2Eo00" w:hAnsi="TT14A2Eo00" w:cs="TT14A2Eo00"/>
        </w:rPr>
        <w:t xml:space="preserve">. inferences over </w:t>
      </w:r>
      <w:proofErr w:type="spellStart"/>
      <w:r>
        <w:rPr>
          <w:rFonts w:ascii="TT14A2Eo00" w:hAnsi="TT14A2Eo00" w:cs="TT14A2Eo00"/>
        </w:rPr>
        <w:t>Frensham’s</w:t>
      </w:r>
      <w:proofErr w:type="spellEnd"/>
      <w:r>
        <w:rPr>
          <w:rFonts w:ascii="TT14A2Eo00" w:hAnsi="TT14A2Eo00" w:cs="TT14A2Eo00"/>
        </w:rPr>
        <w:t xml:space="preserve"> lengthy interview by police [dev. Anita may be suspicious that</w:t>
      </w:r>
    </w:p>
    <w:p w:rsidR="000B3B85" w:rsidRDefault="000B3B85" w:rsidP="000B3B85">
      <w:pPr>
        <w:autoSpaceDE w:val="0"/>
        <w:autoSpaceDN w:val="0"/>
        <w:adjustRightInd w:val="0"/>
        <w:spacing w:after="0" w:line="240" w:lineRule="auto"/>
        <w:rPr>
          <w:rFonts w:ascii="TT14A2Eo00" w:hAnsi="TT14A2Eo00" w:cs="TT14A2Eo00"/>
        </w:rPr>
      </w:pPr>
      <w:proofErr w:type="spellStart"/>
      <w:r>
        <w:rPr>
          <w:rFonts w:ascii="TT14A2Eo00" w:hAnsi="TT14A2Eo00" w:cs="TT14A2Eo00"/>
        </w:rPr>
        <w:t>Frensham</w:t>
      </w:r>
      <w:proofErr w:type="spellEnd"/>
      <w:r>
        <w:rPr>
          <w:rFonts w:ascii="TT14A2Eo00" w:hAnsi="TT14A2Eo00" w:cs="TT14A2Eo00"/>
        </w:rPr>
        <w:t xml:space="preserve"> is involved or knows more than he has said] [dev. Anita may have seen argument through the powerful binoculars]</w:t>
      </w:r>
    </w:p>
    <w:p w:rsidR="000B3B85" w:rsidRPr="000B3B85" w:rsidRDefault="000B3B85" w:rsidP="000B3B85">
      <w:pPr>
        <w:autoSpaceDE w:val="0"/>
        <w:autoSpaceDN w:val="0"/>
        <w:adjustRightInd w:val="0"/>
        <w:spacing w:after="0" w:line="240" w:lineRule="auto"/>
        <w:rPr>
          <w:rFonts w:ascii="Helvetica-Bold" w:hAnsi="Helvetica-Bold" w:cs="Helvetica-Bold"/>
          <w:bCs/>
        </w:rPr>
      </w:pPr>
      <w:r>
        <w:rPr>
          <w:rFonts w:ascii="TT14A2Eo00" w:hAnsi="TT14A2Eo00" w:cs="TT14A2Eo00"/>
        </w:rPr>
        <w:lastRenderedPageBreak/>
        <w:t>Note: candidates may choose to attribute theories to specific ‘interviewed’ characters.</w:t>
      </w:r>
    </w:p>
    <w:p w:rsidR="00000000" w:rsidRDefault="000B3B85"/>
    <w:p w:rsidR="000B3B85" w:rsidRDefault="000B3B85" w:rsidP="000B3B85">
      <w:pPr>
        <w:pStyle w:val="Default"/>
        <w:rPr>
          <w:sz w:val="22"/>
          <w:szCs w:val="22"/>
        </w:rPr>
      </w:pPr>
      <w:r>
        <w:rPr>
          <w:b/>
          <w:bCs/>
          <w:sz w:val="22"/>
          <w:szCs w:val="22"/>
        </w:rPr>
        <w:t xml:space="preserve">Marking Criteria for Question 1 </w:t>
      </w:r>
    </w:p>
    <w:p w:rsidR="000B3B85" w:rsidRDefault="000B3B85" w:rsidP="000B3B85">
      <w:pPr>
        <w:pStyle w:val="Default"/>
        <w:rPr>
          <w:sz w:val="22"/>
          <w:szCs w:val="22"/>
        </w:rPr>
      </w:pPr>
      <w:r>
        <w:rPr>
          <w:b/>
          <w:bCs/>
          <w:sz w:val="22"/>
          <w:szCs w:val="22"/>
        </w:rPr>
        <w:t xml:space="preserve">Table A, Reading: </w:t>
      </w:r>
    </w:p>
    <w:p w:rsidR="000B3B85" w:rsidRPr="003E2694" w:rsidRDefault="000B3B85" w:rsidP="000B3B85">
      <w:pPr>
        <w:autoSpaceDE w:val="0"/>
        <w:autoSpaceDN w:val="0"/>
        <w:adjustRightInd w:val="0"/>
        <w:spacing w:after="0" w:line="240" w:lineRule="auto"/>
        <w:rPr>
          <w:rFonts w:ascii="Arial" w:hAnsi="Arial" w:cs="Arial"/>
          <w:b/>
          <w:bCs/>
        </w:rPr>
      </w:pPr>
      <w:r w:rsidRPr="003E2694">
        <w:rPr>
          <w:rFonts w:ascii="Arial" w:hAnsi="Arial" w:cs="Arial"/>
        </w:rPr>
        <w:t>Use the following table to give a mark out of 15 for Reading.</w:t>
      </w:r>
    </w:p>
    <w:p w:rsidR="000B3B85" w:rsidRDefault="000B3B85" w:rsidP="000B3B85"/>
    <w:tbl>
      <w:tblPr>
        <w:tblStyle w:val="TableGrid"/>
        <w:tblW w:w="0" w:type="auto"/>
        <w:tblLook w:val="04A0"/>
      </w:tblPr>
      <w:tblGrid>
        <w:gridCol w:w="2178"/>
        <w:gridCol w:w="7398"/>
      </w:tblGrid>
      <w:tr w:rsidR="000B3B85" w:rsidTr="003B5120">
        <w:tc>
          <w:tcPr>
            <w:tcW w:w="2178" w:type="dxa"/>
          </w:tcPr>
          <w:p w:rsidR="000B3B85" w:rsidRPr="004A130E" w:rsidRDefault="000B3B85" w:rsidP="003B5120">
            <w:pPr>
              <w:pStyle w:val="Default"/>
              <w:rPr>
                <w:sz w:val="22"/>
                <w:szCs w:val="22"/>
              </w:rPr>
            </w:pPr>
            <w:r w:rsidRPr="004A130E">
              <w:rPr>
                <w:b/>
                <w:bCs/>
                <w:sz w:val="22"/>
                <w:szCs w:val="22"/>
              </w:rPr>
              <w:t xml:space="preserve">Band 1: </w:t>
            </w:r>
          </w:p>
          <w:p w:rsidR="000B3B85" w:rsidRPr="004A130E" w:rsidRDefault="000B3B85" w:rsidP="003B5120">
            <w:pPr>
              <w:rPr>
                <w:rFonts w:ascii="Arial" w:hAnsi="Arial" w:cs="Arial"/>
              </w:rPr>
            </w:pPr>
            <w:r w:rsidRPr="004A130E">
              <w:rPr>
                <w:rFonts w:ascii="Arial" w:hAnsi="Arial" w:cs="Arial"/>
                <w:b/>
                <w:bCs/>
              </w:rPr>
              <w:t>13–15</w:t>
            </w:r>
          </w:p>
        </w:tc>
        <w:tc>
          <w:tcPr>
            <w:tcW w:w="7398" w:type="dxa"/>
          </w:tcPr>
          <w:p w:rsidR="000B3B85" w:rsidRDefault="000B3B85" w:rsidP="003B5120">
            <w:pPr>
              <w:pStyle w:val="Default"/>
              <w:rPr>
                <w:sz w:val="22"/>
                <w:szCs w:val="22"/>
              </w:rPr>
            </w:pPr>
            <w:r>
              <w:rPr>
                <w:sz w:val="22"/>
                <w:szCs w:val="22"/>
              </w:rPr>
              <w:t xml:space="preserve">The response reveals a </w:t>
            </w:r>
            <w:r>
              <w:rPr>
                <w:b/>
                <w:bCs/>
                <w:sz w:val="22"/>
                <w:szCs w:val="22"/>
              </w:rPr>
              <w:t xml:space="preserve">thorough </w:t>
            </w:r>
            <w:r>
              <w:rPr>
                <w:sz w:val="22"/>
                <w:szCs w:val="22"/>
              </w:rPr>
              <w:t xml:space="preserve">reading of the passage. Developed ideas are sustained and well related to the passage. A wide range of ideas is applied. There is supporting detail throughout, which is well integrated into the response, contributing to a strong sense of purpose and approach. All three bullets are well covered. A consistent and convincing voice is used. </w:t>
            </w:r>
          </w:p>
        </w:tc>
      </w:tr>
      <w:tr w:rsidR="000B3B85" w:rsidTr="003B5120">
        <w:tc>
          <w:tcPr>
            <w:tcW w:w="2178" w:type="dxa"/>
          </w:tcPr>
          <w:p w:rsidR="000B3B85" w:rsidRPr="004A130E" w:rsidRDefault="000B3B85" w:rsidP="003B5120">
            <w:pPr>
              <w:rPr>
                <w:rFonts w:ascii="Arial" w:hAnsi="Arial" w:cs="Arial"/>
              </w:rPr>
            </w:pPr>
            <w:r w:rsidRPr="004A130E">
              <w:rPr>
                <w:rFonts w:ascii="Arial" w:hAnsi="Arial" w:cs="Arial"/>
                <w:b/>
                <w:bCs/>
              </w:rPr>
              <w:t xml:space="preserve"> </w:t>
            </w:r>
          </w:p>
          <w:p w:rsidR="000B3B85" w:rsidRPr="004A130E" w:rsidRDefault="000B3B85" w:rsidP="003B5120">
            <w:pPr>
              <w:pStyle w:val="Default"/>
              <w:rPr>
                <w:sz w:val="22"/>
                <w:szCs w:val="22"/>
              </w:rPr>
            </w:pPr>
            <w:r w:rsidRPr="004A130E">
              <w:rPr>
                <w:b/>
                <w:bCs/>
                <w:sz w:val="22"/>
                <w:szCs w:val="22"/>
              </w:rPr>
              <w:t xml:space="preserve">Band 2: </w:t>
            </w:r>
          </w:p>
          <w:p w:rsidR="000B3B85" w:rsidRPr="004A130E" w:rsidRDefault="000B3B85" w:rsidP="003B5120">
            <w:pPr>
              <w:rPr>
                <w:rFonts w:ascii="Arial" w:hAnsi="Arial" w:cs="Arial"/>
              </w:rPr>
            </w:pPr>
            <w:r w:rsidRPr="004A130E">
              <w:rPr>
                <w:rFonts w:ascii="Arial" w:hAnsi="Arial" w:cs="Arial"/>
                <w:b/>
                <w:bCs/>
              </w:rPr>
              <w:t xml:space="preserve">10–12 </w:t>
            </w:r>
          </w:p>
        </w:tc>
        <w:tc>
          <w:tcPr>
            <w:tcW w:w="7398" w:type="dxa"/>
          </w:tcPr>
          <w:p w:rsidR="000B3B85" w:rsidRPr="004A130E" w:rsidRDefault="000B3B85" w:rsidP="003B5120">
            <w:pPr>
              <w:pStyle w:val="Default"/>
              <w:rPr>
                <w:sz w:val="22"/>
                <w:szCs w:val="22"/>
              </w:rPr>
            </w:pPr>
            <w:r>
              <w:rPr>
                <w:sz w:val="22"/>
                <w:szCs w:val="22"/>
              </w:rPr>
              <w:t xml:space="preserve">The response demonstrates a </w:t>
            </w:r>
            <w:r>
              <w:rPr>
                <w:b/>
                <w:bCs/>
                <w:sz w:val="22"/>
                <w:szCs w:val="22"/>
              </w:rPr>
              <w:t xml:space="preserve">competent </w:t>
            </w:r>
            <w:r>
              <w:rPr>
                <w:sz w:val="22"/>
                <w:szCs w:val="22"/>
              </w:rPr>
              <w:t xml:space="preserve">reading of the passage. A good range </w:t>
            </w:r>
            <w:proofErr w:type="gramStart"/>
            <w:r>
              <w:rPr>
                <w:sz w:val="22"/>
                <w:szCs w:val="22"/>
              </w:rPr>
              <w:t>of  ideas</w:t>
            </w:r>
            <w:proofErr w:type="gramEnd"/>
            <w:r>
              <w:rPr>
                <w:sz w:val="22"/>
                <w:szCs w:val="22"/>
              </w:rPr>
              <w:t xml:space="preserve"> is evident. Some ideas are developed, but the ability to sustain them may </w:t>
            </w:r>
            <w:proofErr w:type="gramStart"/>
            <w:r>
              <w:rPr>
                <w:sz w:val="22"/>
                <w:szCs w:val="22"/>
              </w:rPr>
              <w:t>not  be</w:t>
            </w:r>
            <w:proofErr w:type="gramEnd"/>
            <w:r>
              <w:rPr>
                <w:sz w:val="22"/>
                <w:szCs w:val="22"/>
              </w:rPr>
              <w:t xml:space="preserve"> consistent. There is frequent, helpful supporting detail, contributing to a </w:t>
            </w:r>
            <w:proofErr w:type="gramStart"/>
            <w:r>
              <w:rPr>
                <w:sz w:val="22"/>
                <w:szCs w:val="22"/>
              </w:rPr>
              <w:t>clear  sense</w:t>
            </w:r>
            <w:proofErr w:type="gramEnd"/>
            <w:r>
              <w:rPr>
                <w:sz w:val="22"/>
                <w:szCs w:val="22"/>
              </w:rPr>
              <w:t xml:space="preserve"> of purpose. All three bullets are covered. An appropriate voice is used </w:t>
            </w:r>
          </w:p>
        </w:tc>
      </w:tr>
      <w:tr w:rsidR="000B3B85" w:rsidTr="003B5120">
        <w:tc>
          <w:tcPr>
            <w:tcW w:w="2178" w:type="dxa"/>
          </w:tcPr>
          <w:p w:rsidR="000B3B85" w:rsidRPr="004A130E" w:rsidRDefault="000B3B85" w:rsidP="003B5120">
            <w:pPr>
              <w:pStyle w:val="Default"/>
              <w:rPr>
                <w:sz w:val="22"/>
                <w:szCs w:val="22"/>
              </w:rPr>
            </w:pPr>
            <w:r w:rsidRPr="004A130E">
              <w:rPr>
                <w:b/>
                <w:bCs/>
                <w:sz w:val="22"/>
                <w:szCs w:val="22"/>
              </w:rPr>
              <w:t xml:space="preserve">Band 3: </w:t>
            </w:r>
          </w:p>
          <w:p w:rsidR="000B3B85" w:rsidRPr="004A130E" w:rsidRDefault="000B3B85" w:rsidP="003B5120">
            <w:pPr>
              <w:rPr>
                <w:rFonts w:ascii="Arial" w:hAnsi="Arial" w:cs="Arial"/>
              </w:rPr>
            </w:pPr>
            <w:r w:rsidRPr="004A130E">
              <w:rPr>
                <w:rFonts w:ascii="Arial" w:hAnsi="Arial" w:cs="Arial"/>
                <w:b/>
                <w:bCs/>
              </w:rPr>
              <w:t xml:space="preserve">7–9 </w:t>
            </w:r>
          </w:p>
        </w:tc>
        <w:tc>
          <w:tcPr>
            <w:tcW w:w="7398" w:type="dxa"/>
          </w:tcPr>
          <w:p w:rsidR="000B3B85" w:rsidRDefault="000B3B85" w:rsidP="003B5120">
            <w:pPr>
              <w:pStyle w:val="Default"/>
              <w:rPr>
                <w:sz w:val="22"/>
                <w:szCs w:val="22"/>
              </w:rPr>
            </w:pPr>
            <w:r>
              <w:rPr>
                <w:sz w:val="22"/>
                <w:szCs w:val="22"/>
              </w:rPr>
              <w:t xml:space="preserve">The passage has been read </w:t>
            </w:r>
            <w:r>
              <w:rPr>
                <w:b/>
                <w:bCs/>
                <w:sz w:val="22"/>
                <w:szCs w:val="22"/>
              </w:rPr>
              <w:t xml:space="preserve">reasonably </w:t>
            </w:r>
            <w:r>
              <w:rPr>
                <w:sz w:val="22"/>
                <w:szCs w:val="22"/>
              </w:rPr>
              <w:t xml:space="preserve">well. A range of straightforward ideas is offered. Opportunities for development are rarely taken. Supporting detail is present but there may be some mechanical use of the passage. There is uneven focus on the bullets. The voice is plain </w:t>
            </w:r>
          </w:p>
          <w:p w:rsidR="000B3B85" w:rsidRDefault="000B3B85" w:rsidP="003B5120"/>
        </w:tc>
      </w:tr>
      <w:tr w:rsidR="000B3B85" w:rsidTr="003B5120">
        <w:tc>
          <w:tcPr>
            <w:tcW w:w="2178" w:type="dxa"/>
          </w:tcPr>
          <w:p w:rsidR="000B3B85" w:rsidRPr="004A130E" w:rsidRDefault="000B3B85" w:rsidP="003B5120">
            <w:pPr>
              <w:pStyle w:val="Default"/>
              <w:rPr>
                <w:sz w:val="22"/>
                <w:szCs w:val="22"/>
              </w:rPr>
            </w:pPr>
            <w:r w:rsidRPr="004A130E">
              <w:rPr>
                <w:b/>
                <w:bCs/>
                <w:sz w:val="22"/>
                <w:szCs w:val="22"/>
              </w:rPr>
              <w:t xml:space="preserve">Band 4: </w:t>
            </w:r>
          </w:p>
          <w:p w:rsidR="000B3B85" w:rsidRPr="004A130E" w:rsidRDefault="000B3B85" w:rsidP="003B5120">
            <w:pPr>
              <w:rPr>
                <w:rFonts w:ascii="Arial" w:hAnsi="Arial" w:cs="Arial"/>
              </w:rPr>
            </w:pPr>
            <w:r w:rsidRPr="004A130E">
              <w:rPr>
                <w:rFonts w:ascii="Arial" w:hAnsi="Arial" w:cs="Arial"/>
                <w:b/>
                <w:bCs/>
              </w:rPr>
              <w:t xml:space="preserve">4–6 </w:t>
            </w:r>
          </w:p>
        </w:tc>
        <w:tc>
          <w:tcPr>
            <w:tcW w:w="7398" w:type="dxa"/>
          </w:tcPr>
          <w:p w:rsidR="000B3B85" w:rsidRDefault="000B3B85" w:rsidP="003B5120">
            <w:pPr>
              <w:pStyle w:val="Default"/>
              <w:rPr>
                <w:sz w:val="22"/>
                <w:szCs w:val="22"/>
              </w:rPr>
            </w:pPr>
            <w:r>
              <w:rPr>
                <w:sz w:val="22"/>
                <w:szCs w:val="22"/>
              </w:rPr>
              <w:t xml:space="preserve">There is some evidence of </w:t>
            </w:r>
            <w:r>
              <w:rPr>
                <w:b/>
                <w:bCs/>
                <w:sz w:val="22"/>
                <w:szCs w:val="22"/>
              </w:rPr>
              <w:t xml:space="preserve">general understanding </w:t>
            </w:r>
            <w:r>
              <w:rPr>
                <w:sz w:val="22"/>
                <w:szCs w:val="22"/>
              </w:rPr>
              <w:t xml:space="preserve">of the main ideas, although the response may be thin or in places lack focus on the passage or the question. Some brief, straightforward reference to the passage is made .There may be some reliance on lifting from the text. One of the bullets may not be addressed. The voice might be inappropriate </w:t>
            </w:r>
          </w:p>
          <w:p w:rsidR="000B3B85" w:rsidRDefault="000B3B85" w:rsidP="003B5120"/>
        </w:tc>
      </w:tr>
      <w:tr w:rsidR="000B3B85" w:rsidTr="003B5120">
        <w:tc>
          <w:tcPr>
            <w:tcW w:w="2178" w:type="dxa"/>
          </w:tcPr>
          <w:p w:rsidR="000B3B85" w:rsidRPr="004A130E" w:rsidRDefault="000B3B85" w:rsidP="003B5120">
            <w:pPr>
              <w:pStyle w:val="Default"/>
              <w:rPr>
                <w:sz w:val="22"/>
                <w:szCs w:val="22"/>
              </w:rPr>
            </w:pPr>
            <w:r w:rsidRPr="004A130E">
              <w:rPr>
                <w:b/>
                <w:bCs/>
                <w:sz w:val="22"/>
                <w:szCs w:val="22"/>
              </w:rPr>
              <w:t xml:space="preserve">Band 5: </w:t>
            </w:r>
          </w:p>
          <w:p w:rsidR="000B3B85" w:rsidRPr="004A130E" w:rsidRDefault="000B3B85" w:rsidP="003B5120">
            <w:pPr>
              <w:rPr>
                <w:rFonts w:ascii="Arial" w:hAnsi="Arial" w:cs="Arial"/>
              </w:rPr>
            </w:pPr>
            <w:r w:rsidRPr="004A130E">
              <w:rPr>
                <w:rFonts w:ascii="Arial" w:hAnsi="Arial" w:cs="Arial"/>
                <w:b/>
                <w:bCs/>
              </w:rPr>
              <w:t xml:space="preserve">1–3 </w:t>
            </w:r>
          </w:p>
        </w:tc>
        <w:tc>
          <w:tcPr>
            <w:tcW w:w="7398" w:type="dxa"/>
          </w:tcPr>
          <w:p w:rsidR="000B3B85" w:rsidRDefault="000B3B85" w:rsidP="003B5120">
            <w:pPr>
              <w:pStyle w:val="Default"/>
              <w:rPr>
                <w:sz w:val="22"/>
                <w:szCs w:val="22"/>
              </w:rPr>
            </w:pPr>
            <w:r>
              <w:rPr>
                <w:sz w:val="22"/>
                <w:szCs w:val="22"/>
              </w:rPr>
              <w:t xml:space="preserve">The response is either </w:t>
            </w:r>
            <w:r>
              <w:rPr>
                <w:b/>
                <w:bCs/>
                <w:sz w:val="22"/>
                <w:szCs w:val="22"/>
              </w:rPr>
              <w:t>very general</w:t>
            </w:r>
            <w:r>
              <w:rPr>
                <w:sz w:val="22"/>
                <w:szCs w:val="22"/>
              </w:rPr>
              <w:t xml:space="preserve">, with little reference to the passage, or </w:t>
            </w:r>
            <w:proofErr w:type="gramStart"/>
            <w:r>
              <w:rPr>
                <w:sz w:val="22"/>
                <w:szCs w:val="22"/>
              </w:rPr>
              <w:t>a  reproduction</w:t>
            </w:r>
            <w:proofErr w:type="gramEnd"/>
            <w:r>
              <w:rPr>
                <w:sz w:val="22"/>
                <w:szCs w:val="22"/>
              </w:rPr>
              <w:t xml:space="preserve"> of sections of the original. Content is either insubstantial or unselective. </w:t>
            </w:r>
          </w:p>
          <w:p w:rsidR="000B3B85" w:rsidRDefault="000B3B85" w:rsidP="003B5120">
            <w:r>
              <w:t xml:space="preserve">There is little </w:t>
            </w:r>
            <w:proofErr w:type="spellStart"/>
            <w:r>
              <w:t>realisation</w:t>
            </w:r>
            <w:proofErr w:type="spellEnd"/>
            <w:r>
              <w:t xml:space="preserve"> of the need to modify material from the passage </w:t>
            </w:r>
          </w:p>
        </w:tc>
      </w:tr>
      <w:tr w:rsidR="000B3B85" w:rsidTr="003B5120">
        <w:tc>
          <w:tcPr>
            <w:tcW w:w="2178" w:type="dxa"/>
          </w:tcPr>
          <w:p w:rsidR="000B3B85" w:rsidRPr="004A130E" w:rsidRDefault="000B3B85" w:rsidP="003B5120">
            <w:pPr>
              <w:pStyle w:val="Default"/>
              <w:rPr>
                <w:sz w:val="22"/>
                <w:szCs w:val="22"/>
              </w:rPr>
            </w:pPr>
            <w:r w:rsidRPr="004A130E">
              <w:rPr>
                <w:b/>
                <w:bCs/>
                <w:sz w:val="22"/>
                <w:szCs w:val="22"/>
              </w:rPr>
              <w:t xml:space="preserve">Band 6: 0 </w:t>
            </w:r>
          </w:p>
          <w:p w:rsidR="000B3B85" w:rsidRPr="004A130E" w:rsidRDefault="000B3B85" w:rsidP="003B5120">
            <w:pPr>
              <w:rPr>
                <w:rFonts w:ascii="Arial" w:hAnsi="Arial" w:cs="Arial"/>
              </w:rPr>
            </w:pPr>
          </w:p>
        </w:tc>
        <w:tc>
          <w:tcPr>
            <w:tcW w:w="7398" w:type="dxa"/>
          </w:tcPr>
          <w:p w:rsidR="000B3B85" w:rsidRDefault="000B3B85" w:rsidP="003B5120">
            <w:pPr>
              <w:pStyle w:val="Default"/>
              <w:rPr>
                <w:sz w:val="22"/>
                <w:szCs w:val="22"/>
              </w:rPr>
            </w:pPr>
          </w:p>
          <w:p w:rsidR="000B3B85" w:rsidRDefault="000B3B85" w:rsidP="003B5120">
            <w:pPr>
              <w:pStyle w:val="Default"/>
              <w:rPr>
                <w:sz w:val="22"/>
                <w:szCs w:val="22"/>
              </w:rPr>
            </w:pPr>
            <w:r>
              <w:rPr>
                <w:sz w:val="22"/>
                <w:szCs w:val="22"/>
              </w:rPr>
              <w:t xml:space="preserve">There is little or no relevance to the question or to the passage. </w:t>
            </w:r>
          </w:p>
          <w:p w:rsidR="000B3B85" w:rsidRDefault="000B3B85" w:rsidP="003B5120"/>
        </w:tc>
      </w:tr>
      <w:tr w:rsidR="000B3B85" w:rsidTr="003B5120">
        <w:tc>
          <w:tcPr>
            <w:tcW w:w="2178" w:type="dxa"/>
          </w:tcPr>
          <w:p w:rsidR="000B3B85" w:rsidRDefault="000B3B85" w:rsidP="003B5120"/>
        </w:tc>
        <w:tc>
          <w:tcPr>
            <w:tcW w:w="7398" w:type="dxa"/>
          </w:tcPr>
          <w:p w:rsidR="000B3B85" w:rsidRDefault="000B3B85" w:rsidP="003B5120"/>
        </w:tc>
      </w:tr>
    </w:tbl>
    <w:p w:rsidR="000B3B85" w:rsidRDefault="000B3B85" w:rsidP="000B3B85"/>
    <w:p w:rsidR="000B3B85" w:rsidRPr="003E2694" w:rsidRDefault="000B3B85" w:rsidP="000B3B85">
      <w:pPr>
        <w:rPr>
          <w:rFonts w:ascii="Arial" w:hAnsi="Arial" w:cs="Arial"/>
        </w:rPr>
      </w:pPr>
      <w:r w:rsidRPr="003E2694">
        <w:rPr>
          <w:rFonts w:ascii="Arial" w:hAnsi="Arial" w:cs="Arial"/>
          <w:b/>
          <w:bCs/>
        </w:rPr>
        <w:t>Table B</w:t>
      </w:r>
      <w:r w:rsidRPr="003E2694">
        <w:rPr>
          <w:rFonts w:ascii="Arial" w:hAnsi="Arial" w:cs="Arial"/>
        </w:rPr>
        <w:t>, Writing: Structure and order, style of language Use the following table to give a mark out of 10 for Writing.</w:t>
      </w:r>
    </w:p>
    <w:p w:rsidR="000B3B85" w:rsidRDefault="000B3B85" w:rsidP="000B3B85"/>
    <w:tbl>
      <w:tblPr>
        <w:tblStyle w:val="TableGrid"/>
        <w:tblW w:w="0" w:type="auto"/>
        <w:tblLook w:val="04A0"/>
      </w:tblPr>
      <w:tblGrid>
        <w:gridCol w:w="2178"/>
        <w:gridCol w:w="7398"/>
      </w:tblGrid>
      <w:tr w:rsidR="000B3B85" w:rsidTr="003B5120">
        <w:tc>
          <w:tcPr>
            <w:tcW w:w="2178" w:type="dxa"/>
          </w:tcPr>
          <w:p w:rsidR="000B3B85" w:rsidRDefault="000B3B85" w:rsidP="003B5120">
            <w:pPr>
              <w:pStyle w:val="Default"/>
              <w:rPr>
                <w:b/>
                <w:bCs/>
                <w:sz w:val="22"/>
                <w:szCs w:val="22"/>
              </w:rPr>
            </w:pPr>
          </w:p>
          <w:p w:rsidR="000B3B85" w:rsidRPr="004A130E" w:rsidRDefault="000B3B85" w:rsidP="003B5120">
            <w:pPr>
              <w:pStyle w:val="Default"/>
              <w:rPr>
                <w:sz w:val="22"/>
                <w:szCs w:val="22"/>
              </w:rPr>
            </w:pPr>
            <w:r>
              <w:rPr>
                <w:b/>
                <w:bCs/>
                <w:sz w:val="22"/>
                <w:szCs w:val="22"/>
              </w:rPr>
              <w:t>9- 10</w:t>
            </w:r>
          </w:p>
        </w:tc>
        <w:tc>
          <w:tcPr>
            <w:tcW w:w="7398" w:type="dxa"/>
          </w:tcPr>
          <w:p w:rsidR="000B3B85" w:rsidRDefault="000B3B85" w:rsidP="003B5120">
            <w:pPr>
              <w:pStyle w:val="Default"/>
              <w:rPr>
                <w:sz w:val="23"/>
                <w:szCs w:val="23"/>
              </w:rPr>
            </w:pPr>
            <w:r>
              <w:rPr>
                <w:sz w:val="23"/>
                <w:szCs w:val="23"/>
              </w:rPr>
              <w:t>Effective register for audience and purpose. • The language of the response sounds convincing and consistently appropriate. • Ideas are firmly expressed in a wide range of effective and/or interesting language. • Structure and sequence are sound throughout. • Spelling, punctuation and grammar almost always accurate.</w:t>
            </w:r>
          </w:p>
          <w:p w:rsidR="000B3B85" w:rsidRDefault="000B3B85" w:rsidP="003B5120">
            <w:pPr>
              <w:pStyle w:val="Default"/>
              <w:rPr>
                <w:sz w:val="22"/>
                <w:szCs w:val="22"/>
              </w:rPr>
            </w:pPr>
          </w:p>
        </w:tc>
      </w:tr>
      <w:tr w:rsidR="000B3B85" w:rsidTr="003B5120">
        <w:tc>
          <w:tcPr>
            <w:tcW w:w="2178" w:type="dxa"/>
          </w:tcPr>
          <w:p w:rsidR="000B3B85" w:rsidRPr="004A130E" w:rsidRDefault="000B3B85" w:rsidP="003B5120">
            <w:pPr>
              <w:rPr>
                <w:rFonts w:ascii="Arial" w:hAnsi="Arial" w:cs="Arial"/>
              </w:rPr>
            </w:pPr>
            <w:r>
              <w:rPr>
                <w:rFonts w:ascii="Arial" w:hAnsi="Arial" w:cs="Arial"/>
              </w:rPr>
              <w:lastRenderedPageBreak/>
              <w:t>7-8</w:t>
            </w:r>
          </w:p>
        </w:tc>
        <w:tc>
          <w:tcPr>
            <w:tcW w:w="7398" w:type="dxa"/>
          </w:tcPr>
          <w:p w:rsidR="000B3B85" w:rsidRDefault="000B3B85" w:rsidP="003B5120">
            <w:pPr>
              <w:pStyle w:val="Default"/>
              <w:rPr>
                <w:sz w:val="23"/>
                <w:szCs w:val="23"/>
              </w:rPr>
            </w:pPr>
            <w:r>
              <w:rPr>
                <w:sz w:val="23"/>
                <w:szCs w:val="23"/>
              </w:rPr>
              <w:t xml:space="preserve">Some awareness of an appropriate register for audience and purpose. • Language is mostly fluent and there is clarity of expression. • There is a sufficient range of vocabulary to express ideas with subtlety and precision. • The response is mainly well structured and well sequenced. • Spelling, punctuation and grammar generally accurate. </w:t>
            </w:r>
          </w:p>
          <w:p w:rsidR="000B3B85" w:rsidRPr="004A130E" w:rsidRDefault="000B3B85" w:rsidP="003B5120">
            <w:pPr>
              <w:pStyle w:val="Default"/>
              <w:rPr>
                <w:sz w:val="22"/>
                <w:szCs w:val="22"/>
              </w:rPr>
            </w:pPr>
          </w:p>
        </w:tc>
      </w:tr>
      <w:tr w:rsidR="000B3B85" w:rsidTr="003B5120">
        <w:tc>
          <w:tcPr>
            <w:tcW w:w="2178" w:type="dxa"/>
          </w:tcPr>
          <w:p w:rsidR="000B3B85" w:rsidRPr="004A130E" w:rsidRDefault="000B3B85" w:rsidP="003B5120">
            <w:pPr>
              <w:rPr>
                <w:rFonts w:ascii="Arial" w:hAnsi="Arial" w:cs="Arial"/>
              </w:rPr>
            </w:pPr>
            <w:r>
              <w:rPr>
                <w:rFonts w:ascii="Arial" w:hAnsi="Arial" w:cs="Arial"/>
              </w:rPr>
              <w:t>5-6</w:t>
            </w:r>
          </w:p>
        </w:tc>
        <w:tc>
          <w:tcPr>
            <w:tcW w:w="7398" w:type="dxa"/>
          </w:tcPr>
          <w:p w:rsidR="000B3B85" w:rsidRDefault="000B3B85" w:rsidP="003B5120">
            <w:pPr>
              <w:pStyle w:val="Default"/>
              <w:rPr>
                <w:sz w:val="23"/>
                <w:szCs w:val="23"/>
              </w:rPr>
            </w:pPr>
            <w:r>
              <w:rPr>
                <w:sz w:val="23"/>
                <w:szCs w:val="23"/>
              </w:rPr>
              <w:t>Language is clear but comparatively plain and/or factual, expressing little opinion. • Ideas are rarely extended, but explanations are adequate. • Some sections are quite well sequenced but there may be flaws in structure. • Minor, but more frequent, errors of spelling, punctuation and grammar</w:t>
            </w:r>
          </w:p>
          <w:p w:rsidR="000B3B85" w:rsidRDefault="000B3B85" w:rsidP="003B5120"/>
        </w:tc>
      </w:tr>
      <w:tr w:rsidR="000B3B85" w:rsidTr="003B5120">
        <w:tc>
          <w:tcPr>
            <w:tcW w:w="2178" w:type="dxa"/>
          </w:tcPr>
          <w:p w:rsidR="000B3B85" w:rsidRPr="004A130E" w:rsidRDefault="000B3B85" w:rsidP="003B5120">
            <w:pPr>
              <w:rPr>
                <w:rFonts w:ascii="Arial" w:hAnsi="Arial" w:cs="Arial"/>
              </w:rPr>
            </w:pPr>
            <w:r>
              <w:rPr>
                <w:rFonts w:ascii="Arial" w:hAnsi="Arial" w:cs="Arial"/>
              </w:rPr>
              <w:t>3-4</w:t>
            </w:r>
          </w:p>
        </w:tc>
        <w:tc>
          <w:tcPr>
            <w:tcW w:w="7398" w:type="dxa"/>
          </w:tcPr>
          <w:p w:rsidR="000B3B85" w:rsidRDefault="000B3B85" w:rsidP="003B5120">
            <w:pPr>
              <w:pStyle w:val="Default"/>
              <w:rPr>
                <w:sz w:val="23"/>
                <w:szCs w:val="23"/>
              </w:rPr>
            </w:pPr>
            <w:r>
              <w:rPr>
                <w:sz w:val="23"/>
                <w:szCs w:val="23"/>
              </w:rPr>
              <w:t>There may be some awkwardness of expression and some inconsistency of style. • Language is too limited to express shades of meaning. • There is structural weakness and there may be some copying from the text. • Frequent errors of spelling, punctuation and grammar.</w:t>
            </w:r>
          </w:p>
          <w:p w:rsidR="000B3B85" w:rsidRDefault="000B3B85" w:rsidP="003B5120"/>
        </w:tc>
      </w:tr>
      <w:tr w:rsidR="000B3B85" w:rsidTr="003B5120">
        <w:tc>
          <w:tcPr>
            <w:tcW w:w="2178" w:type="dxa"/>
          </w:tcPr>
          <w:p w:rsidR="000B3B85" w:rsidRPr="004A130E" w:rsidRDefault="000B3B85" w:rsidP="003B5120">
            <w:pPr>
              <w:rPr>
                <w:rFonts w:ascii="Arial" w:hAnsi="Arial" w:cs="Arial"/>
              </w:rPr>
            </w:pPr>
            <w:r>
              <w:rPr>
                <w:rFonts w:ascii="Arial" w:hAnsi="Arial" w:cs="Arial"/>
              </w:rPr>
              <w:t>1-2</w:t>
            </w:r>
          </w:p>
        </w:tc>
        <w:tc>
          <w:tcPr>
            <w:tcW w:w="7398" w:type="dxa"/>
          </w:tcPr>
          <w:p w:rsidR="000B3B85" w:rsidRDefault="000B3B85" w:rsidP="003B5120">
            <w:pPr>
              <w:pStyle w:val="Default"/>
              <w:rPr>
                <w:sz w:val="23"/>
                <w:szCs w:val="23"/>
              </w:rPr>
            </w:pPr>
            <w:r>
              <w:rPr>
                <w:sz w:val="23"/>
                <w:szCs w:val="23"/>
              </w:rPr>
              <w:t>Expression and structure lack clarity. • Language is weak and undeveloped. • There is very little attempt to explain ideas. • There may be frequent copying from the original. • Persistent errors of spelling, punctuation and grammar impede communication</w:t>
            </w:r>
          </w:p>
          <w:p w:rsidR="000B3B85" w:rsidRDefault="000B3B85" w:rsidP="003B5120"/>
        </w:tc>
      </w:tr>
      <w:tr w:rsidR="000B3B85" w:rsidTr="003B5120">
        <w:tc>
          <w:tcPr>
            <w:tcW w:w="2178" w:type="dxa"/>
          </w:tcPr>
          <w:p w:rsidR="000B3B85" w:rsidRDefault="000B3B85" w:rsidP="003B5120">
            <w:r>
              <w:t>0</w:t>
            </w:r>
          </w:p>
        </w:tc>
        <w:tc>
          <w:tcPr>
            <w:tcW w:w="7398" w:type="dxa"/>
          </w:tcPr>
          <w:p w:rsidR="000B3B85" w:rsidRDefault="000B3B85" w:rsidP="003B5120">
            <w:pPr>
              <w:pStyle w:val="Default"/>
              <w:rPr>
                <w:sz w:val="23"/>
                <w:szCs w:val="23"/>
              </w:rPr>
            </w:pPr>
            <w:r>
              <w:rPr>
                <w:sz w:val="23"/>
                <w:szCs w:val="23"/>
              </w:rPr>
              <w:t>The response cannot be understood</w:t>
            </w:r>
          </w:p>
          <w:p w:rsidR="000B3B85" w:rsidRDefault="000B3B85" w:rsidP="003B5120"/>
        </w:tc>
      </w:tr>
    </w:tbl>
    <w:p w:rsidR="000B3B85" w:rsidRDefault="000B3B85" w:rsidP="000B3B85"/>
    <w:p w:rsidR="000B3B85" w:rsidRDefault="000B3B85" w:rsidP="000B3B85"/>
    <w:p w:rsidR="000B3B85" w:rsidRDefault="000B3B85" w:rsidP="000B3B85"/>
    <w:p w:rsidR="000B3B85" w:rsidRDefault="000B3B85"/>
    <w:sectPr w:rsidR="000B3B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TT14A25o00">
    <w:panose1 w:val="00000000000000000000"/>
    <w:charset w:val="00"/>
    <w:family w:val="swiss"/>
    <w:notTrueType/>
    <w:pitch w:val="default"/>
    <w:sig w:usb0="00000003" w:usb1="00000000" w:usb2="00000000" w:usb3="00000000" w:csb0="00000001" w:csb1="00000000"/>
  </w:font>
  <w:font w:name="TT14A2Fo00">
    <w:panose1 w:val="00000000000000000000"/>
    <w:charset w:val="00"/>
    <w:family w:val="swiss"/>
    <w:notTrueType/>
    <w:pitch w:val="default"/>
    <w:sig w:usb0="00000003" w:usb1="00000000" w:usb2="00000000" w:usb3="00000000" w:csb0="00000001" w:csb1="00000000"/>
  </w:font>
  <w:font w:name="TT14A2Eo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B3B85"/>
    <w:rsid w:val="000B3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B85"/>
    <w:rPr>
      <w:rFonts w:ascii="Tahoma" w:hAnsi="Tahoma" w:cs="Tahoma"/>
      <w:sz w:val="16"/>
      <w:szCs w:val="16"/>
    </w:rPr>
  </w:style>
  <w:style w:type="table" w:styleId="TableGrid">
    <w:name w:val="Table Grid"/>
    <w:basedOn w:val="TableNormal"/>
    <w:uiPriority w:val="59"/>
    <w:rsid w:val="000B3B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0B3B8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5346</Characters>
  <Application>Microsoft Office Word</Application>
  <DocSecurity>0</DocSecurity>
  <Lines>44</Lines>
  <Paragraphs>12</Paragraphs>
  <ScaleCrop>false</ScaleCrop>
  <Company>Grizli777</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2</cp:revision>
  <dcterms:created xsi:type="dcterms:W3CDTF">2020-04-30T16:00:00Z</dcterms:created>
  <dcterms:modified xsi:type="dcterms:W3CDTF">2020-04-30T16:05:00Z</dcterms:modified>
</cp:coreProperties>
</file>