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T0_Ch_L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T0_Ch_R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T0_Fa_L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T0_Fa_R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T0_Fx_L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T0_Fx_R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T0_Gr_L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T0_Gr_R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T0_mv_Ch_LR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T0_mv_Ch_RL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T0_mv_Fx_LR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T0_mv_Fx_RL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T0_mv_Gr_LR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T0_mv_Gr_RL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T0_mv_No_LR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T0_mv_No_RL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T1_Ch_L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T1_Ch_R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T1_Fa_L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T1_Fa_R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T1_Fx_L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T1_Fx_R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T1_Gr_L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T1_Gr_R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T1_mv_Ch_LR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T1_mv_Ch_RL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T1_mv_Fx_LR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T1_mv_Fx_RL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T1_mv_Gr_LR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T1_mv_Gr_RL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T1_mv_No_LR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T1_mv_No_RL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T2_Ch_L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T2_Ch_R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T2_Fa_L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T2_Fa_R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T2_Fx_L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T2_Fx_R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T2_Gr_L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T2_Gr_R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T2_mv_Ch_LR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T2_mv_Ch_RL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T2_mv_Fx_LR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T2_mv_Fx_RL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T2_mv_Gr_LR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T2_mv_Gr_RL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T2_mv_No_LR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T2_mv_No_RL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T3_Ch_L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T3_Ch_R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T3_Fa_L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T3_Fa_R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T3_Fx_L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T3_Fx_R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T3_Gr_L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T3_Gr_R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T3_mv_Ch_LR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T3_mv_Ch_RL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T3_mv_Fx_LR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T3_mv_Fx_RL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T3_mv_Gr_LR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T3_mv_Gr_RL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T3_mv_No_LR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T3_mv_No_RL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T4_Ch_L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T4_Ch_R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T4_Fa_L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T4_Fa_R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T4_Fx_L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T4_Fx_R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T4_Gr_L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T4_Gr_R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T4_mv_Ch_LR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T4_mv_Ch_RL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T4_mv_Fx_LR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T4_mv_Fx_RL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T4_mv_Gr_LR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T4_mv_Gr_RL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T4_mv_No_LR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T4_mv_No_RL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T5_Ch_L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T5_Ch_R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T5_Fa_L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T5_Fa_R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T5_Fx_L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T5_Fx_R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T5_Gr_L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T5_Gr_R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T5_mv_Ch_LR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T5_mv_Ch_RL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T5_mv_Fx_LR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T5_mv_Fx_RL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T5_mv_Gr_LR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T5_mv_Gr_RL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T5_mv_No_LR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T5_mv_No_RL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T6_Ch_L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T6_Ch_R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T6_Fa_L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T6_Fa_R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T6_Fx_L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T6_Fx_R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T6_Gr_L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T6_Gr_R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T6_mv_Ch_LR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T6_mv_Ch_RL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T6_mv_Fx_LR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T6_mv_Fx_RL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T6_mv_Gr_LR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T6_mv_Gr_RL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T6_mv_No_LR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T6_mv_No_RL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T7_Ch_L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T7_Ch_R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T7_Fa_L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T7_Fa_R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T7_Fx_L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T7_Fx_R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T7_Gr_L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T7_Gr_R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True symbols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T0_Ch_L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T0_Fa_L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T0_Fx_L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T0_Gr_L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T0_mv_Ch_LR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T1_Ch_R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T1_Fa_R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T1_Fx_L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T1_Gr_L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T1_mv_No_RL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T2_Ch_R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T2_Fa_L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T2_Fx_L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T2_Gr_L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T2_mv_Fx_LR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T3_Ch_R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T3_Fa_R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T3_Fx_R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T3_Gr_L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T3_mv_Ch_RL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T4_Ch_L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T4_Fa_L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T4_Fx_R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T4_Gr_L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T4_mv_Gr_LR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T5_Ch_L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T5_Fa_R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T5_Fx_R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T5_Gr_R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T5_mv_No_RL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T6_Ch_L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T6_Fa_L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T6_Fx_R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T6_Gr_R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T6_mv_Ch_LR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T7_Ch_R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T7_Fa_R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T7_Fx_R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T7_Gr_R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of nodes searched=458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