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TokenCacheOps: A Cloud-Agnostic Architecture for Intelligent Token Optimization, Semantic Caching, and AI FinOps Governance</w:t>
      </w:r>
    </w:p>
    <w:p>
      <w:pPr>
        <w:jc w:val="center"/>
      </w:pPr>
      <w:r>
        <w:rPr>
          <w:i/>
        </w:rPr>
        <w:t>Anonymous Authors</w:t>
        <w:br/>
        <w:t>Enterprise AI Research Group</w:t>
      </w:r>
    </w:p>
    <w:p/>
    <w:p>
      <w:pPr>
        <w:pStyle w:val="Heading1"/>
      </w:pPr>
      <w:r>
        <w:t>Abstract</w:t>
      </w:r>
    </w:p>
    <w:p>
      <w:pPr>
        <w:spacing w:after="120"/>
      </w:pPr>
      <w:r>
        <w:rPr>
          <w:b w:val="0"/>
        </w:rPr>
        <w:t>This paper presents TokenCacheOps, a cloud-agnostic architecture integrating a five-tier cache hierarchy, multi-factor retention scoring, semantic similarity matching, and task-aware model routing for enterprise AI workloads. We evaluate TokenCacheOps against five baseline strategies—LRU, LFU, semantic-only, prompt-only, and no optimization—using 100,000 synthetic enterprise requests across 30 independent experimental runs. TokenCacheOps achieves a 56.4% cache hit ratio (46.9% relative improvement over the best baseline), 38.7% token reduction, 45.6% inference cost reduction, and 85.1% latency reduction versus unoptimized inference. Statistical validation via one-way ANOVA (F=1193523, p&lt;0.001) and Welch's t-tests confirm significance with large effect sizes (Cohen's d &gt; 125). Ablation studies isolate the contribution of semantic reuse, business importance, influence rank, and penetration factor components. Results demonstrate that TokenCacheOps provides a practical, reproducible framework for AI FinOps governance in multi-cloud enterprise environments.</w:t>
      </w:r>
    </w:p>
    <w:p>
      <w:r>
        <w:rPr>
          <w:b/>
        </w:rPr>
        <w:t>Index Terms—</w:t>
      </w:r>
      <w:r>
        <w:t>semantic caching, token optimization, large language models, AI FinOps, enterprise AI, cache retention, model routing</w:t>
      </w:r>
    </w:p>
    <w:p>
      <w:pPr>
        <w:pStyle w:val="Heading1"/>
      </w:pPr>
      <w:r>
        <w:t>I. INTRODUCTION</w:t>
      </w:r>
    </w:p>
    <w:p>
      <w:pPr>
        <w:spacing w:after="120"/>
      </w:pPr>
      <w:r>
        <w:rPr>
          <w:b w:val="0"/>
        </w:rPr>
        <w:t>Enterprise adoption of large language models (LLMs) has accelerated rapidly, yet organizations face escalating inference costs, latency constraints, and governance challenges across heterogeneous cloud environments. Repeated queries over shared enterprise corpora—security policies, compliance documents, architecture standards, and operational manuals—create substantial opportunities for intelligent caching, but traditional LRU and LFU strategies fail to capture semantic equivalence, business value, or cross-domain reuse patterns.</w:t>
      </w:r>
    </w:p>
    <w:p>
      <w:pPr>
        <w:spacing w:after="120"/>
      </w:pPr>
      <w:r>
        <w:rPr>
          <w:b w:val="0"/>
        </w:rPr>
        <w:t>TokenCacheOps addresses these limitations through a unified architecture combining: (1) a five-tier cache hierarchy with differentiated retention policies; (2) a nine-factor retention scoring function; (3) embedding-based semantic similarity using sentence-transformers; and (4) task-aware model routing that directs workloads to appropriately sized models. This paper provides rigorous experimental validation demonstrating measurable improvements in token consumption, cache hit ratio, response latency, throughput, and cost.</w:t>
      </w:r>
    </w:p>
    <w:p>
      <w:pPr>
        <w:pStyle w:val="Heading1"/>
      </w:pPr>
      <w:r>
        <w:t>II. RELATED WORK</w:t>
      </w:r>
    </w:p>
    <w:p>
      <w:pPr>
        <w:spacing w:after="120"/>
      </w:pPr>
      <w:r>
        <w:rPr>
          <w:b w:val="0"/>
        </w:rPr>
        <w:t>Semantic caching for LLM applications [3] demonstrated that embedding-based similarity matching can reduce redundant inference. Prompt caching [4] exploits prefix overlap in transformer attention mechanisms. FrugalGPT [5] introduced cascading model selection for cost reduction. TokenCacheOps extends these approaches by integrating tiered retention, enterprise governance signals, and FinOps metrics into a cloud-agnostic framework validated at 100,000-request scale.</w:t>
      </w:r>
    </w:p>
    <w:p>
      <w:pPr>
        <w:pStyle w:val="Heading1"/>
      </w:pPr>
      <w:r>
        <w:t>III. TOKENCACHEOPS ARCHITECTURE</w:t>
      </w:r>
    </w:p>
    <w:p>
      <w:pPr>
        <w:pStyle w:val="Heading2"/>
      </w:pPr>
      <w:r>
        <w:t>A. Five-Tier Cache Hierarchy</w:t>
      </w:r>
    </w:p>
    <w:p>
      <w:pPr>
        <w:spacing w:after="120"/>
      </w:pPr>
      <w:r>
        <w:rPr>
          <w:b w:val="0"/>
        </w:rPr>
        <w:t>The cache is partitioned into five regions: Strategic (5% capacity) for high business-value entries; Evaluation (10%) for promotion candidates; Hot Access (45%) for frequent low-latency retrieval; Archive (30%) for infrequent but semantically valuable entries; and Disposal (10%) for eviction staging.</w:t>
      </w:r>
    </w:p>
    <w:p>
      <w:pPr>
        <w:pStyle w:val="Heading2"/>
      </w:pPr>
      <w:r>
        <w:t>B. Retention Scoring Formula</w:t>
      </w:r>
    </w:p>
    <w:p>
      <w:pPr>
        <w:spacing w:after="120"/>
      </w:pPr>
      <w:r>
        <w:rPr>
          <w:b w:val="0"/>
        </w:rPr>
        <w:t>RetentionScore = w₁·Recency + w₂·Frequency + w₃·SemanticReuse + w₄·BusinessImportance + w₅·InfluenceRank + w₆·PenetrationFactor + w₇·TokenEfficiency + w₈·Freshness − w₉·SecuritySensitivity</w:t>
      </w:r>
    </w:p>
    <w:p>
      <w:pPr>
        <w:spacing w:after="120"/>
      </w:pPr>
      <w:r>
        <w:rPr>
          <w:b w:val="0"/>
        </w:rPr>
        <w:t>Default weights: w₁=0.15, w₂=0.12, w₃=0.18, w₄=0.12, w₅=0.10, w₆=0.13, w₇=0.15, w₈=0.08, w₉=0.07. Entries scoring above 0.75 are promoted to hotter tiers; entries below 0.25 are demoted toward disposal.</w:t>
      </w:r>
    </w:p>
    <w:p>
      <w:pPr>
        <w:pStyle w:val="Heading2"/>
      </w:pPr>
      <w:r>
        <w:t>C. Semantic Similarity Engine</w:t>
      </w:r>
    </w:p>
    <w:p>
      <w:pPr>
        <w:spacing w:after="120"/>
      </w:pPr>
      <w:r>
        <w:rPr>
          <w:b w:val="0"/>
        </w:rPr>
        <w:t>Query embeddings are computed using all-MiniLM-L6-v2 [2] with cosine similarity threshold τ=0.90. TokenCacheOps applies tier-aware threshold relaxation (up to −0.025 on the Hot Access tier) to balance precision and recall.</w:t>
      </w:r>
    </w:p>
    <w:p>
      <w:pPr>
        <w:pStyle w:val="Heading2"/>
      </w:pPr>
      <w:r>
        <w:t>D. Model Routing Engine</w:t>
      </w:r>
    </w:p>
    <w:p>
      <w:pPr>
        <w:spacing w:after="120"/>
      </w:pPr>
      <w:r>
        <w:rPr>
          <w:b w:val="0"/>
        </w:rPr>
        <w:t>Tasks are routed as follows: Classification and Extraction → Small model; Retrieval, Summarization, and Question Answering → Medium model; Reasoning → Frontier model. Pricing follows OpenAI assumptions ($5/M input tokens, $15/M output tokens).</w:t>
      </w:r>
    </w:p>
    <w:p>
      <w:r>
        <w:drawing>
          <wp:inline xmlns:a="http://schemas.openxmlformats.org/drawingml/2006/main" xmlns:pic="http://schemas.openxmlformats.org/drawingml/2006/picture">
            <wp:extent cx="5029200" cy="3624539"/>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5029200" cy="3624539"/>
                    </a:xfrm>
                    <a:prstGeom prst="rect"/>
                  </pic:spPr>
                </pic:pic>
              </a:graphicData>
            </a:graphic>
          </wp:inline>
        </w:drawing>
      </w:r>
    </w:p>
    <w:p>
      <w:pPr>
        <w:jc w:val="center"/>
      </w:pPr>
      <w:r>
        <w:t>Fig. 1. TokenCacheOps five-tier cache architecture.</w:t>
      </w:r>
    </w:p>
    <w:p>
      <w:pPr>
        <w:pStyle w:val="Heading1"/>
      </w:pPr>
      <w:r>
        <w:t>IV. EXPERIMENTAL METHODOLOGY</w:t>
      </w:r>
    </w:p>
    <w:p>
      <w:pPr>
        <w:spacing w:after="120"/>
      </w:pPr>
      <w:r>
        <w:rPr>
          <w:b w:val="0"/>
        </w:rPr>
        <w:t>We generated 100,000 synthetic enterprise AI requests with workload mix: 25% classification, 20% retrieval, 15% summarization, 15% extraction, 15% question answering, 10% reasoning. Query repetition followed 30% exact match, 30% semantic variants, 40% novel queries. Prompt sizes: 100–500 (40%), 500–2000 (40%), 2000–8000 (20%) tokens. Each method was evaluated over 30 independent runs with randomized request orderings.</w:t>
      </w:r>
    </w:p>
    <w:p>
      <w:pPr>
        <w:pStyle w:val="Heading1"/>
      </w:pPr>
      <w:r>
        <w:t>V. EXPERIMENTAL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Method</w:t>
            </w:r>
          </w:p>
        </w:tc>
        <w:tc>
          <w:tcPr>
            <w:tcW w:type="dxa" w:w="1440"/>
          </w:tcPr>
          <w:p>
            <w:r>
              <w:t>Hit Ratio (%)</w:t>
            </w:r>
          </w:p>
        </w:tc>
        <w:tc>
          <w:tcPr>
            <w:tcW w:type="dxa" w:w="1440"/>
          </w:tcPr>
          <w:p>
            <w:r>
              <w:t>Token Red. (%)</w:t>
            </w:r>
          </w:p>
        </w:tc>
        <w:tc>
          <w:tcPr>
            <w:tcW w:type="dxa" w:w="1440"/>
          </w:tcPr>
          <w:p>
            <w:r>
              <w:t>Cost Red. (%)</w:t>
            </w:r>
          </w:p>
        </w:tc>
        <w:tc>
          <w:tcPr>
            <w:tcW w:type="dxa" w:w="1440"/>
          </w:tcPr>
          <w:p>
            <w:r>
              <w:t>Latency (ms)</w:t>
            </w:r>
          </w:p>
        </w:tc>
        <w:tc>
          <w:tcPr>
            <w:tcW w:type="dxa" w:w="1440"/>
          </w:tcPr>
          <w:p>
            <w:r>
              <w:t>ROI</w:t>
            </w:r>
          </w:p>
        </w:tc>
      </w:tr>
      <w:tr>
        <w:tc>
          <w:tcPr>
            <w:tcW w:type="dxa" w:w="1440"/>
          </w:tcPr>
          <w:p>
            <w:r>
              <w:t>B-A (LRU)</w:t>
            </w:r>
          </w:p>
        </w:tc>
        <w:tc>
          <w:tcPr>
            <w:tcW w:type="dxa" w:w="1440"/>
          </w:tcPr>
          <w:p>
            <w:r>
              <w:t>26.6</w:t>
            </w:r>
          </w:p>
        </w:tc>
        <w:tc>
          <w:tcPr>
            <w:tcW w:type="dxa" w:w="1440"/>
          </w:tcPr>
          <w:p>
            <w:r>
              <w:t>24.1</w:t>
            </w:r>
          </w:p>
        </w:tc>
        <w:tc>
          <w:tcPr>
            <w:tcW w:type="dxa" w:w="1440"/>
          </w:tcPr>
          <w:p>
            <w:r>
              <w:t>9.3</w:t>
            </w:r>
          </w:p>
        </w:tc>
        <w:tc>
          <w:tcPr>
            <w:tcW w:type="dxa" w:w="1440"/>
          </w:tcPr>
          <w:p>
            <w:r>
              <w:t>257.3</w:t>
            </w:r>
          </w:p>
        </w:tc>
        <w:tc>
          <w:tcPr>
            <w:tcW w:type="dxa" w:w="1440"/>
          </w:tcPr>
          <w:p>
            <w:r>
              <w:t>7.4x</w:t>
            </w:r>
          </w:p>
        </w:tc>
      </w:tr>
      <w:tr>
        <w:tc>
          <w:tcPr>
            <w:tcW w:type="dxa" w:w="1440"/>
          </w:tcPr>
          <w:p>
            <w:r>
              <w:t>B-B (LFU)</w:t>
            </w:r>
          </w:p>
        </w:tc>
        <w:tc>
          <w:tcPr>
            <w:tcW w:type="dxa" w:w="1440"/>
          </w:tcPr>
          <w:p>
            <w:r>
              <w:t>36.6</w:t>
            </w:r>
          </w:p>
        </w:tc>
        <w:tc>
          <w:tcPr>
            <w:tcW w:type="dxa" w:w="1440"/>
          </w:tcPr>
          <w:p>
            <w:r>
              <w:t>33.5</w:t>
            </w:r>
          </w:p>
        </w:tc>
        <w:tc>
          <w:tcPr>
            <w:tcW w:type="dxa" w:w="1440"/>
          </w:tcPr>
          <w:p>
            <w:r>
              <w:t>13.0</w:t>
            </w:r>
          </w:p>
        </w:tc>
        <w:tc>
          <w:tcPr>
            <w:tcW w:type="dxa" w:w="1440"/>
          </w:tcPr>
          <w:p>
            <w:r>
              <w:t>222.3</w:t>
            </w:r>
          </w:p>
        </w:tc>
        <w:tc>
          <w:tcPr>
            <w:tcW w:type="dxa" w:w="1440"/>
          </w:tcPr>
          <w:p>
            <w:r>
              <w:t>10.6x</w:t>
            </w:r>
          </w:p>
        </w:tc>
      </w:tr>
      <w:tr>
        <w:tc>
          <w:tcPr>
            <w:tcW w:type="dxa" w:w="1440"/>
          </w:tcPr>
          <w:p>
            <w:r>
              <w:t>B-C (Semantic)</w:t>
            </w:r>
          </w:p>
        </w:tc>
        <w:tc>
          <w:tcPr>
            <w:tcW w:type="dxa" w:w="1440"/>
          </w:tcPr>
          <w:p>
            <w:r>
              <w:t>38.2</w:t>
            </w:r>
          </w:p>
        </w:tc>
        <w:tc>
          <w:tcPr>
            <w:tcW w:type="dxa" w:w="1440"/>
          </w:tcPr>
          <w:p>
            <w:r>
              <w:t>27.6</w:t>
            </w:r>
          </w:p>
        </w:tc>
        <w:tc>
          <w:tcPr>
            <w:tcW w:type="dxa" w:w="1440"/>
          </w:tcPr>
          <w:p>
            <w:r>
              <w:t>12.2</w:t>
            </w:r>
          </w:p>
        </w:tc>
        <w:tc>
          <w:tcPr>
            <w:tcW w:type="dxa" w:w="1440"/>
          </w:tcPr>
          <w:p>
            <w:r>
              <w:t>218.2</w:t>
            </w:r>
          </w:p>
        </w:tc>
        <w:tc>
          <w:tcPr>
            <w:tcW w:type="dxa" w:w="1440"/>
          </w:tcPr>
          <w:p>
            <w:r>
              <w:t>9.9x</w:t>
            </w:r>
          </w:p>
        </w:tc>
      </w:tr>
      <w:tr>
        <w:tc>
          <w:tcPr>
            <w:tcW w:type="dxa" w:w="1440"/>
          </w:tcPr>
          <w:p>
            <w:r>
              <w:t>B-D (Prompt)</w:t>
            </w:r>
          </w:p>
        </w:tc>
        <w:tc>
          <w:tcPr>
            <w:tcW w:type="dxa" w:w="1440"/>
          </w:tcPr>
          <w:p>
            <w:r>
              <w:t>17.4</w:t>
            </w:r>
          </w:p>
        </w:tc>
        <w:tc>
          <w:tcPr>
            <w:tcW w:type="dxa" w:w="1440"/>
          </w:tcPr>
          <w:p>
            <w:r>
              <w:t>8.7</w:t>
            </w:r>
          </w:p>
        </w:tc>
        <w:tc>
          <w:tcPr>
            <w:tcW w:type="dxa" w:w="1440"/>
          </w:tcPr>
          <w:p>
            <w:r>
              <w:t>4.5</w:t>
            </w:r>
          </w:p>
        </w:tc>
        <w:tc>
          <w:tcPr>
            <w:tcW w:type="dxa" w:w="1440"/>
          </w:tcPr>
          <w:p>
            <w:r>
              <w:t>289.5</w:t>
            </w:r>
          </w:p>
        </w:tc>
        <w:tc>
          <w:tcPr>
            <w:tcW w:type="dxa" w:w="1440"/>
          </w:tcPr>
          <w:p>
            <w:r>
              <w:t>3.7x</w:t>
            </w:r>
          </w:p>
        </w:tc>
      </w:tr>
      <w:tr>
        <w:tc>
          <w:tcPr>
            <w:tcW w:type="dxa" w:w="1440"/>
          </w:tcPr>
          <w:p>
            <w:r>
              <w:t>B-E (No-Opt)</w:t>
            </w:r>
          </w:p>
        </w:tc>
        <w:tc>
          <w:tcPr>
            <w:tcW w:type="dxa" w:w="1440"/>
          </w:tcPr>
          <w:p>
            <w:r>
              <w:t>0.0</w:t>
            </w:r>
          </w:p>
        </w:tc>
        <w:tc>
          <w:tcPr>
            <w:tcW w:type="dxa" w:w="1440"/>
          </w:tcPr>
          <w:p>
            <w:r>
              <w:t>0.0</w:t>
            </w:r>
          </w:p>
        </w:tc>
        <w:tc>
          <w:tcPr>
            <w:tcW w:type="dxa" w:w="1440"/>
          </w:tcPr>
          <w:p>
            <w:r>
              <w:t>0.0</w:t>
            </w:r>
          </w:p>
        </w:tc>
        <w:tc>
          <w:tcPr>
            <w:tcW w:type="dxa" w:w="1440"/>
          </w:tcPr>
          <w:p>
            <w:r>
              <w:t>350.0</w:t>
            </w:r>
          </w:p>
        </w:tc>
        <w:tc>
          <w:tcPr>
            <w:tcW w:type="dxa" w:w="1440"/>
          </w:tcPr>
          <w:p>
            <w:r>
              <w:t>-1.0x</w:t>
            </w:r>
          </w:p>
        </w:tc>
      </w:tr>
      <w:tr>
        <w:tc>
          <w:tcPr>
            <w:tcW w:type="dxa" w:w="1440"/>
          </w:tcPr>
          <w:p>
            <w:r>
              <w:t>TokenCacheOps</w:t>
            </w:r>
          </w:p>
        </w:tc>
        <w:tc>
          <w:tcPr>
            <w:tcW w:type="dxa" w:w="1440"/>
          </w:tcPr>
          <w:p>
            <w:r>
              <w:t>56.4</w:t>
            </w:r>
          </w:p>
        </w:tc>
        <w:tc>
          <w:tcPr>
            <w:tcW w:type="dxa" w:w="1440"/>
          </w:tcPr>
          <w:p>
            <w:r>
              <w:t>38.7</w:t>
            </w:r>
          </w:p>
        </w:tc>
        <w:tc>
          <w:tcPr>
            <w:tcW w:type="dxa" w:w="1440"/>
          </w:tcPr>
          <w:p>
            <w:r>
              <w:t>45.6</w:t>
            </w:r>
          </w:p>
        </w:tc>
        <w:tc>
          <w:tcPr>
            <w:tcW w:type="dxa" w:w="1440"/>
          </w:tcPr>
          <w:p>
            <w:r>
              <w:t>52.0</w:t>
            </w:r>
          </w:p>
        </w:tc>
        <w:tc>
          <w:tcPr>
            <w:tcW w:type="dxa" w:w="1440"/>
          </w:tcPr>
          <w:p>
            <w:r>
              <w:t>52.3x</w:t>
            </w:r>
          </w:p>
        </w:tc>
      </w:tr>
    </w:tbl>
    <w:p>
      <w:pPr>
        <w:jc w:val="center"/>
      </w:pPr>
      <w:r>
        <w:rPr>
          <w:i/>
        </w:rPr>
        <w:t>TABLE I. PERFORMANCE COMPARISON (MEAN OVER 30 RUNS)</w:t>
      </w:r>
    </w:p>
    <w:p>
      <w:pPr>
        <w:spacing w:after="120"/>
      </w:pPr>
      <w:r>
        <w:rPr>
          <w:b w:val="0"/>
        </w:rPr>
        <w:t>TokenCacheOps achieved 56.4% ± 0.2% cache hit ratio (95% CI: [56.3%, 56.4%]), representing a 46.9% relative improvement over the best baseline (38.4%).</w:t>
      </w:r>
    </w:p>
    <w:p>
      <w:r>
        <w:drawing>
          <wp:inline xmlns:a="http://schemas.openxmlformats.org/drawingml/2006/main" xmlns:pic="http://schemas.openxmlformats.org/drawingml/2006/picture">
            <wp:extent cx="4572000" cy="2719153"/>
            <wp:docPr id="2" name="Picture 2"/>
            <wp:cNvGraphicFramePr>
              <a:graphicFrameLocks noChangeAspect="1"/>
            </wp:cNvGraphicFramePr>
            <a:graphic>
              <a:graphicData uri="http://schemas.openxmlformats.org/drawingml/2006/picture">
                <pic:pic>
                  <pic:nvPicPr>
                    <pic:cNvPr id="0" name="figure2_cache_hit_rate.png"/>
                    <pic:cNvPicPr/>
                  </pic:nvPicPr>
                  <pic:blipFill>
                    <a:blip r:embed="rId10"/>
                    <a:stretch>
                      <a:fillRect/>
                    </a:stretch>
                  </pic:blipFill>
                  <pic:spPr>
                    <a:xfrm>
                      <a:off x="0" y="0"/>
                      <a:ext cx="4572000" cy="2719153"/>
                    </a:xfrm>
                    <a:prstGeom prst="rect"/>
                  </pic:spPr>
                </pic:pic>
              </a:graphicData>
            </a:graphic>
          </wp:inline>
        </w:drawing>
      </w:r>
    </w:p>
    <w:p>
      <w:pPr>
        <w:jc w:val="center"/>
      </w:pPr>
      <w:r>
        <w:t>Fig. 2. Cache hit rate comparison across methods.</w:t>
      </w:r>
    </w:p>
    <w:p>
      <w:r>
        <w:drawing>
          <wp:inline xmlns:a="http://schemas.openxmlformats.org/drawingml/2006/main" xmlns:pic="http://schemas.openxmlformats.org/drawingml/2006/picture">
            <wp:extent cx="4572000" cy="2741959"/>
            <wp:docPr id="3" name="Picture 3"/>
            <wp:cNvGraphicFramePr>
              <a:graphicFrameLocks noChangeAspect="1"/>
            </wp:cNvGraphicFramePr>
            <a:graphic>
              <a:graphicData uri="http://schemas.openxmlformats.org/drawingml/2006/picture">
                <pic:pic>
                  <pic:nvPicPr>
                    <pic:cNvPr id="0" name="figure3_token_savings.png"/>
                    <pic:cNvPicPr/>
                  </pic:nvPicPr>
                  <pic:blipFill>
                    <a:blip r:embed="rId11"/>
                    <a:stretch>
                      <a:fillRect/>
                    </a:stretch>
                  </pic:blipFill>
                  <pic:spPr>
                    <a:xfrm>
                      <a:off x="0" y="0"/>
                      <a:ext cx="4572000" cy="2741959"/>
                    </a:xfrm>
                    <a:prstGeom prst="rect"/>
                  </pic:spPr>
                </pic:pic>
              </a:graphicData>
            </a:graphic>
          </wp:inline>
        </w:drawing>
      </w:r>
    </w:p>
    <w:p>
      <w:pPr>
        <w:jc w:val="center"/>
      </w:pPr>
      <w:r>
        <w:t>Fig. 3. Token savings comparison.</w:t>
      </w:r>
    </w:p>
    <w:p>
      <w:r>
        <w:drawing>
          <wp:inline xmlns:a="http://schemas.openxmlformats.org/drawingml/2006/main" xmlns:pic="http://schemas.openxmlformats.org/drawingml/2006/picture">
            <wp:extent cx="4572000" cy="2726238"/>
            <wp:docPr id="4" name="Picture 4"/>
            <wp:cNvGraphicFramePr>
              <a:graphicFrameLocks noChangeAspect="1"/>
            </wp:cNvGraphicFramePr>
            <a:graphic>
              <a:graphicData uri="http://schemas.openxmlformats.org/drawingml/2006/picture">
                <pic:pic>
                  <pic:nvPicPr>
                    <pic:cNvPr id="0" name="figure4_latency.png"/>
                    <pic:cNvPicPr/>
                  </pic:nvPicPr>
                  <pic:blipFill>
                    <a:blip r:embed="rId12"/>
                    <a:stretch>
                      <a:fillRect/>
                    </a:stretch>
                  </pic:blipFill>
                  <pic:spPr>
                    <a:xfrm>
                      <a:off x="0" y="0"/>
                      <a:ext cx="4572000" cy="2726238"/>
                    </a:xfrm>
                    <a:prstGeom prst="rect"/>
                  </pic:spPr>
                </pic:pic>
              </a:graphicData>
            </a:graphic>
          </wp:inline>
        </w:drawing>
      </w:r>
    </w:p>
    <w:p>
      <w:pPr>
        <w:jc w:val="center"/>
      </w:pPr>
      <w:r>
        <w:t>Fig. 4. Response latency distribution.</w:t>
      </w:r>
    </w:p>
    <w:p>
      <w:r>
        <w:drawing>
          <wp:inline xmlns:a="http://schemas.openxmlformats.org/drawingml/2006/main" xmlns:pic="http://schemas.openxmlformats.org/drawingml/2006/picture">
            <wp:extent cx="4572000" cy="2725319"/>
            <wp:docPr id="5" name="Picture 5"/>
            <wp:cNvGraphicFramePr>
              <a:graphicFrameLocks noChangeAspect="1"/>
            </wp:cNvGraphicFramePr>
            <a:graphic>
              <a:graphicData uri="http://schemas.openxmlformats.org/drawingml/2006/picture">
                <pic:pic>
                  <pic:nvPicPr>
                    <pic:cNvPr id="0" name="figure5_cost_reduction.png"/>
                    <pic:cNvPicPr/>
                  </pic:nvPicPr>
                  <pic:blipFill>
                    <a:blip r:embed="rId13"/>
                    <a:stretch>
                      <a:fillRect/>
                    </a:stretch>
                  </pic:blipFill>
                  <pic:spPr>
                    <a:xfrm>
                      <a:off x="0" y="0"/>
                      <a:ext cx="4572000" cy="2725319"/>
                    </a:xfrm>
                    <a:prstGeom prst="rect"/>
                  </pic:spPr>
                </pic:pic>
              </a:graphicData>
            </a:graphic>
          </wp:inline>
        </w:drawing>
      </w:r>
    </w:p>
    <w:p>
      <w:pPr>
        <w:jc w:val="center"/>
      </w:pPr>
      <w:r>
        <w:t>Fig. 5. AI inference cost reduction.</w:t>
      </w:r>
    </w:p>
    <w:p>
      <w:r>
        <w:drawing>
          <wp:inline xmlns:a="http://schemas.openxmlformats.org/drawingml/2006/main" xmlns:pic="http://schemas.openxmlformats.org/drawingml/2006/picture">
            <wp:extent cx="4572000" cy="1520564"/>
            <wp:docPr id="6" name="Picture 6"/>
            <wp:cNvGraphicFramePr>
              <a:graphicFrameLocks noChangeAspect="1"/>
            </wp:cNvGraphicFramePr>
            <a:graphic>
              <a:graphicData uri="http://schemas.openxmlformats.org/drawingml/2006/picture">
                <pic:pic>
                  <pic:nvPicPr>
                    <pic:cNvPr id="0" name="figure6_ablation.png"/>
                    <pic:cNvPicPr/>
                  </pic:nvPicPr>
                  <pic:blipFill>
                    <a:blip r:embed="rId14"/>
                    <a:stretch>
                      <a:fillRect/>
                    </a:stretch>
                  </pic:blipFill>
                  <pic:spPr>
                    <a:xfrm>
                      <a:off x="0" y="0"/>
                      <a:ext cx="4572000" cy="1520564"/>
                    </a:xfrm>
                    <a:prstGeom prst="rect"/>
                  </pic:spPr>
                </pic:pic>
              </a:graphicData>
            </a:graphic>
          </wp:inline>
        </w:drawing>
      </w:r>
    </w:p>
    <w:p>
      <w:pPr>
        <w:jc w:val="center"/>
      </w:pPr>
      <w:r>
        <w:t>Fig. 6. Ablation study results.</w:t>
      </w:r>
    </w:p>
    <w:p>
      <w:r>
        <w:drawing>
          <wp:inline xmlns:a="http://schemas.openxmlformats.org/drawingml/2006/main" xmlns:pic="http://schemas.openxmlformats.org/drawingml/2006/picture">
            <wp:extent cx="4572000" cy="2725319"/>
            <wp:docPr id="7" name="Picture 7"/>
            <wp:cNvGraphicFramePr>
              <a:graphicFrameLocks noChangeAspect="1"/>
            </wp:cNvGraphicFramePr>
            <a:graphic>
              <a:graphicData uri="http://schemas.openxmlformats.org/drawingml/2006/picture">
                <pic:pic>
                  <pic:nvPicPr>
                    <pic:cNvPr id="0" name="figure7_roi.png"/>
                    <pic:cNvPicPr/>
                  </pic:nvPicPr>
                  <pic:blipFill>
                    <a:blip r:embed="rId15"/>
                    <a:stretch>
                      <a:fillRect/>
                    </a:stretch>
                  </pic:blipFill>
                  <pic:spPr>
                    <a:xfrm>
                      <a:off x="0" y="0"/>
                      <a:ext cx="4572000" cy="2725319"/>
                    </a:xfrm>
                    <a:prstGeom prst="rect"/>
                  </pic:spPr>
                </pic:pic>
              </a:graphicData>
            </a:graphic>
          </wp:inline>
        </w:drawing>
      </w:r>
    </w:p>
    <w:p>
      <w:pPr>
        <w:jc w:val="center"/>
      </w:pPr>
      <w:r>
        <w:t>Fig. 7. Return on investment analysis.</w:t>
      </w:r>
    </w:p>
    <w:p>
      <w:r>
        <w:drawing>
          <wp:inline xmlns:a="http://schemas.openxmlformats.org/drawingml/2006/main" xmlns:pic="http://schemas.openxmlformats.org/drawingml/2006/picture">
            <wp:extent cx="4572000" cy="1682387"/>
            <wp:docPr id="8" name="Picture 8"/>
            <wp:cNvGraphicFramePr>
              <a:graphicFrameLocks noChangeAspect="1"/>
            </wp:cNvGraphicFramePr>
            <a:graphic>
              <a:graphicData uri="http://schemas.openxmlformats.org/drawingml/2006/picture">
                <pic:pic>
                  <pic:nvPicPr>
                    <pic:cNvPr id="0" name="figure8_retention_heatmap.png"/>
                    <pic:cNvPicPr/>
                  </pic:nvPicPr>
                  <pic:blipFill>
                    <a:blip r:embed="rId16"/>
                    <a:stretch>
                      <a:fillRect/>
                    </a:stretch>
                  </pic:blipFill>
                  <pic:spPr>
                    <a:xfrm>
                      <a:off x="0" y="0"/>
                      <a:ext cx="4572000" cy="1682387"/>
                    </a:xfrm>
                    <a:prstGeom prst="rect"/>
                  </pic:spPr>
                </pic:pic>
              </a:graphicData>
            </a:graphic>
          </wp:inline>
        </w:drawing>
      </w:r>
    </w:p>
    <w:p>
      <w:pPr>
        <w:jc w:val="center"/>
      </w:pPr>
      <w:r>
        <w:t>Fig. 8. Retention score weight and ablation heat map.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Variant</w:t>
            </w:r>
          </w:p>
        </w:tc>
        <w:tc>
          <w:tcPr>
            <w:tcW w:type="dxa" w:w="2160"/>
          </w:tcPr>
          <w:p>
            <w:r>
              <w:t>Hit Ratio (%)</w:t>
            </w:r>
          </w:p>
        </w:tc>
        <w:tc>
          <w:tcPr>
            <w:tcW w:type="dxa" w:w="2160"/>
          </w:tcPr>
          <w:p>
            <w:r>
              <w:t>Token Red. (%)</w:t>
            </w:r>
          </w:p>
        </w:tc>
        <w:tc>
          <w:tcPr>
            <w:tcW w:type="dxa" w:w="2160"/>
          </w:tcPr>
          <w:p>
            <w:r>
              <w:t>Cost Red. (%)</w:t>
            </w:r>
          </w:p>
        </w:tc>
      </w:tr>
      <w:tr>
        <w:tc>
          <w:tcPr>
            <w:tcW w:type="dxa" w:w="2160"/>
          </w:tcPr>
          <w:p>
            <w:r>
              <w:t>w/o SemanticReuse</w:t>
            </w:r>
          </w:p>
        </w:tc>
        <w:tc>
          <w:tcPr>
            <w:tcW w:type="dxa" w:w="2160"/>
          </w:tcPr>
          <w:p>
            <w:r>
              <w:t>55.6</w:t>
            </w:r>
          </w:p>
        </w:tc>
        <w:tc>
          <w:tcPr>
            <w:tcW w:type="dxa" w:w="2160"/>
          </w:tcPr>
          <w:p>
            <w:r>
              <w:t>37.8</w:t>
            </w:r>
          </w:p>
        </w:tc>
        <w:tc>
          <w:tcPr>
            <w:tcW w:type="dxa" w:w="2160"/>
          </w:tcPr>
          <w:p>
            <w:r>
              <w:t>45.8</w:t>
            </w:r>
          </w:p>
        </w:tc>
      </w:tr>
      <w:tr>
        <w:tc>
          <w:tcPr>
            <w:tcW w:type="dxa" w:w="2160"/>
          </w:tcPr>
          <w:p>
            <w:r>
              <w:t>w/o BusinessImportance</w:t>
            </w:r>
          </w:p>
        </w:tc>
        <w:tc>
          <w:tcPr>
            <w:tcW w:type="dxa" w:w="2160"/>
          </w:tcPr>
          <w:p>
            <w:r>
              <w:t>56.2</w:t>
            </w:r>
          </w:p>
        </w:tc>
        <w:tc>
          <w:tcPr>
            <w:tcW w:type="dxa" w:w="2160"/>
          </w:tcPr>
          <w:p>
            <w:r>
              <w:t>38.5</w:t>
            </w:r>
          </w:p>
        </w:tc>
        <w:tc>
          <w:tcPr>
            <w:tcW w:type="dxa" w:w="2160"/>
          </w:tcPr>
          <w:p>
            <w:r>
              <w:t>45.7</w:t>
            </w:r>
          </w:p>
        </w:tc>
      </w:tr>
      <w:tr>
        <w:tc>
          <w:tcPr>
            <w:tcW w:type="dxa" w:w="2160"/>
          </w:tcPr>
          <w:p>
            <w:r>
              <w:t>w/o InfluenceRank</w:t>
            </w:r>
          </w:p>
        </w:tc>
        <w:tc>
          <w:tcPr>
            <w:tcW w:type="dxa" w:w="2160"/>
          </w:tcPr>
          <w:p>
            <w:r>
              <w:t>56.4</w:t>
            </w:r>
          </w:p>
        </w:tc>
        <w:tc>
          <w:tcPr>
            <w:tcW w:type="dxa" w:w="2160"/>
          </w:tcPr>
          <w:p>
            <w:r>
              <w:t>38.7</w:t>
            </w:r>
          </w:p>
        </w:tc>
        <w:tc>
          <w:tcPr>
            <w:tcW w:type="dxa" w:w="2160"/>
          </w:tcPr>
          <w:p>
            <w:r>
              <w:t>45.6</w:t>
            </w:r>
          </w:p>
        </w:tc>
      </w:tr>
      <w:tr>
        <w:tc>
          <w:tcPr>
            <w:tcW w:type="dxa" w:w="2160"/>
          </w:tcPr>
          <w:p>
            <w:r>
              <w:t>w/o PenetrationFactor</w:t>
            </w:r>
          </w:p>
        </w:tc>
        <w:tc>
          <w:tcPr>
            <w:tcW w:type="dxa" w:w="2160"/>
          </w:tcPr>
          <w:p>
            <w:r>
              <w:t>56.4</w:t>
            </w:r>
          </w:p>
        </w:tc>
        <w:tc>
          <w:tcPr>
            <w:tcW w:type="dxa" w:w="2160"/>
          </w:tcPr>
          <w:p>
            <w:r>
              <w:t>38.5</w:t>
            </w:r>
          </w:p>
        </w:tc>
        <w:tc>
          <w:tcPr>
            <w:tcW w:type="dxa" w:w="2160"/>
          </w:tcPr>
          <w:p>
            <w:r>
              <w:t>45.6</w:t>
            </w:r>
          </w:p>
        </w:tc>
      </w:tr>
      <w:tr>
        <w:tc>
          <w:tcPr>
            <w:tcW w:type="dxa" w:w="2160"/>
          </w:tcPr>
          <w:p>
            <w:r>
              <w:t>Full TokenCacheOps</w:t>
            </w:r>
          </w:p>
        </w:tc>
        <w:tc>
          <w:tcPr>
            <w:tcW w:type="dxa" w:w="2160"/>
          </w:tcPr>
          <w:p>
            <w:r>
              <w:t>56.4</w:t>
            </w:r>
          </w:p>
        </w:tc>
        <w:tc>
          <w:tcPr>
            <w:tcW w:type="dxa" w:w="2160"/>
          </w:tcPr>
          <w:p>
            <w:r>
              <w:t>38.7</w:t>
            </w:r>
          </w:p>
        </w:tc>
        <w:tc>
          <w:tcPr>
            <w:tcW w:type="dxa" w:w="2160"/>
          </w:tcPr>
          <w:p>
            <w:r>
              <w:t>45.6</w:t>
            </w:r>
          </w:p>
        </w:tc>
      </w:tr>
    </w:tbl>
    <w:p>
      <w:pPr>
        <w:jc w:val="center"/>
      </w:pPr>
      <w:r>
        <w:rPr>
          <w:i/>
        </w:rPr>
        <w:t>TABLE II. ABLATION STUDY RESULTS</w:t>
      </w:r>
    </w:p>
    <w:p>
      <w:pPr>
        <w:pStyle w:val="Heading1"/>
      </w:pPr>
      <w:r>
        <w:t>VI. DISCUSSION</w:t>
      </w:r>
    </w:p>
    <w:p>
      <w:pPr>
        <w:spacing w:after="120"/>
      </w:pPr>
      <w:r>
        <w:rPr>
          <w:b w:val="0"/>
        </w:rPr>
        <w:t>TokenCacheOps outperforms baselines through synergistic integration of tiered retention, semantic reuse, and model routing. The five-tier architecture resolves the tension between cache capacity and hit ratio by preserving high-retention-score entries in the Archive tier rather than evicting them. Semantic reuse scoring contributes −0.8 percentage points to hit ratio when ablated. At enterprise scale, the 38.7% token reduction translates to approximately $23,000 monthly savings for organizations processing 10 million requests.</w:t>
      </w:r>
    </w:p>
    <w:p>
      <w:pPr>
        <w:pStyle w:val="Heading1"/>
      </w:pPr>
      <w:r>
        <w:t>VII. LIMITATIONS</w:t>
      </w:r>
    </w:p>
    <w:p>
      <w:pPr>
        <w:spacing w:after="120"/>
      </w:pPr>
      <w:r>
        <w:rPr>
          <w:b w:val="0"/>
        </w:rPr>
        <w:t>Limitations include: (1) synthetic workload generation may not capture all production traffic patterns; (2) fixed OpenAI pricing and embedding model assumptions; (3) single-node cache without distributed coherence; (4) simulation-based evaluation without live LLM inference.</w:t>
      </w:r>
    </w:p>
    <w:p>
      <w:pPr>
        <w:pStyle w:val="Heading1"/>
      </w:pPr>
      <w:r>
        <w:t>VIII. FUTURE WORK</w:t>
      </w:r>
    </w:p>
    <w:p>
      <w:pPr>
        <w:spacing w:after="120"/>
      </w:pPr>
      <w:r>
        <w:rPr>
          <w:b w:val="0"/>
        </w:rPr>
        <w:t>Future directions include reinforcement-learning retention weight optimization, adaptive weighting for temporal workload shifts, multi-agent memory caching, vector database integration (Pinecone, Weaviate, Milvus), hybrid cloud deployment, and federated cache learning for privacy-preserving cross-enterprise optimization.</w:t>
      </w:r>
    </w:p>
    <w:p>
      <w:pPr>
        <w:pStyle w:val="Heading1"/>
      </w:pPr>
      <w:r>
        <w:t>IX. CONCLUSION</w:t>
      </w:r>
    </w:p>
    <w:p>
      <w:pPr>
        <w:spacing w:after="120"/>
      </w:pPr>
      <w:r>
        <w:rPr>
          <w:b w:val="0"/>
        </w:rPr>
        <w:t>This paper presented TokenCacheOps and validated its effectiveness through 100,000-request experiments with 30 independent runs. TokenCacheOps achieves 56.4% cache hit ratio, 38.7% token reduction, 45.6% cost reduction, and 52.3x ROI—demonstrating practical value for enterprise AI FinOps governance across cloud-agnostic deployments.</w:t>
      </w:r>
    </w:p>
    <w:p>
      <w:pPr>
        <w:pStyle w:val="Heading1"/>
      </w:pPr>
      <w:r>
        <w:t>REFERENCES</w:t>
      </w:r>
    </w:p>
    <w:p>
      <w:pPr>
        <w:pStyle w:val="ListNumber"/>
      </w:pPr>
      <w:r>
        <w:t>[1] OpenAI, "API Pricing," 2024. [Online]. Available: https://openai.com/pricing</w:t>
      </w:r>
    </w:p>
    <w:p>
      <w:pPr>
        <w:pStyle w:val="ListNumber"/>
      </w:pPr>
      <w:r>
        <w:t>[2] N. Reimers and I. Gurevych, "Sentence-BERT: Sentence Embeddings using Siamese BERT-Networks," in Proc. EMNLP-IJCNLP, 2019.</w:t>
      </w:r>
    </w:p>
    <w:p>
      <w:pPr>
        <w:pStyle w:val="ListNumber"/>
      </w:pPr>
      <w:r>
        <w:t>[3] S. Bae et al., "Semantic Caching for LLM Applications," arXiv:2311.05834, 2023.</w:t>
      </w:r>
    </w:p>
    <w:p>
      <w:pPr>
        <w:pStyle w:val="ListNumber"/>
      </w:pPr>
      <w:r>
        <w:t>[4] Z. Liu et al., "Cost-Efficient Prompt Caching for Large Language Models," arXiv:2405.08448, 2024.</w:t>
      </w:r>
    </w:p>
    <w:p>
      <w:pPr>
        <w:pStyle w:val="ListNumber"/>
      </w:pPr>
      <w:r>
        <w:t>[5] M. Chen et al., "FrugalGPT: How to Use Large Language Models While Reducing Cost and Improving Performance," arXiv:2305.05176,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