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b/>
          <w:sz w:val="44"/>
        </w:rPr>
        <w:t>SPRINT 1 REPORT</w:t>
      </w:r>
    </w:p>
    <w:p>
      <w:pPr>
        <w:jc w:val="center"/>
      </w:pPr>
      <w:r>
        <w:rPr>
          <w:b/>
          <w:sz w:val="34"/>
        </w:rPr>
        <w:t>Credit Card Default Risk Prediction System</w:t>
      </w:r>
    </w:p>
    <w:p>
      <w:pPr>
        <w:jc w:val="center"/>
      </w:pPr>
      <w:r>
        <w:rPr>
          <w:i/>
          <w:sz w:val="24"/>
        </w:rPr>
        <w:t>Data Understanding &amp; Preprocessing</w:t>
      </w:r>
    </w:p>
    <w:p>
      <w:pPr>
        <w:spacing w:before="360"/>
        <w:jc w:val="center"/>
      </w:pPr>
      <w:r>
        <w:rPr>
          <w:i/>
        </w:rPr>
        <w:t>Prepared from the work completed in Google Colab</w:t>
      </w:r>
    </w:p>
    <w:p>
      <w:pPr>
        <w:spacing w:before="200" w:after="80"/>
      </w:pPr>
      <w:r>
        <w:rPr>
          <w:b/>
          <w:sz w:val="30"/>
        </w:rPr>
        <w:t>1. Sprint Objective</w:t>
      </w:r>
    </w:p>
    <w:p>
      <w:pPr>
        <w:spacing w:after="100" w:line="259" w:lineRule="auto"/>
      </w:pPr>
      <w:r>
        <w:t>The purpose of Sprint 1 was to understand the Credit Card Default dataset and prepare it for machine-learning model development. The work completed in this sprint covered dataset loading, initial inspection, data cleaning, exploratory data analysis, outlier detection and treatment, feature encoding, feature scaling, and train-test splitting.</w:t>
      </w:r>
    </w:p>
    <w:p>
      <w:pPr>
        <w:spacing w:before="200" w:after="80"/>
      </w:pPr>
      <w:r>
        <w:rPr>
          <w:b/>
          <w:sz w:val="30"/>
        </w:rPr>
        <w:t>2. Data Collection &amp; Loading</w:t>
      </w:r>
    </w:p>
    <w:p>
      <w:pPr>
        <w:spacing w:after="100" w:line="259" w:lineRule="auto"/>
      </w:pPr>
      <w:r>
        <w:t>The dataset was loaded into the Google Colab notebook using Pandas. The file used for the project was Credit Card Defaulter Prediction.csv. After loading the dataset, the first few records were displayed to confirm that the data had been read successfully.</w:t>
      </w:r>
    </w:p>
    <w:p>
      <w:pPr>
        <w:spacing w:after="100" w:line="259" w:lineRule="auto"/>
      </w:pPr>
      <w:r>
        <w:t>The dataset used in the project contains 30,000 customer records and 25 columns.</w:t>
      </w:r>
    </w:p>
    <w:p>
      <w:pPr>
        <w:spacing w:before="200" w:after="80"/>
      </w:pPr>
      <w:r>
        <w:rPr>
          <w:b/>
          <w:sz w:val="30"/>
        </w:rPr>
        <w:t>3. Initial Data Inspection</w:t>
      </w:r>
    </w:p>
    <w:p>
      <w:pPr>
        <w:spacing w:after="100" w:line="259" w:lineRule="auto"/>
      </w:pPr>
      <w:r>
        <w:t>After loading the dataset, an initial inspection was carried out to understand its structure and contents. The first five and last five records were displayed, followed by a review of the dataset information and descriptive statistics.</w:t>
      </w:r>
    </w:p>
    <w:p>
      <w:pPr>
        <w:spacing w:after="100" w:line="259" w:lineRule="auto"/>
      </w:pPr>
      <w:r>
        <w:t>The following checks were performed:</w:t>
      </w:r>
    </w:p>
    <w:p>
      <w:pPr>
        <w:pStyle w:val="ListBullet"/>
        <w:spacing w:after="40"/>
      </w:pPr>
      <w:r>
        <w:t>Displayed the first five records using df.head().</w:t>
      </w:r>
    </w:p>
    <w:p>
      <w:pPr>
        <w:pStyle w:val="ListBullet"/>
        <w:spacing w:after="40"/>
      </w:pPr>
      <w:r>
        <w:t>Displayed the last five records using df.tail().</w:t>
      </w:r>
    </w:p>
    <w:p>
      <w:pPr>
        <w:pStyle w:val="ListBullet"/>
        <w:spacing w:after="40"/>
      </w:pPr>
      <w:r>
        <w:t>Checked the dataset structure and data types using df.info().</w:t>
      </w:r>
    </w:p>
    <w:p>
      <w:pPr>
        <w:pStyle w:val="ListBullet"/>
        <w:spacing w:after="40"/>
      </w:pPr>
      <w:r>
        <w:t>Generated descriptive statistics using df.describe().</w:t>
      </w:r>
    </w:p>
    <w:p>
      <w:pPr>
        <w:pStyle w:val="ListBullet"/>
        <w:spacing w:after="40"/>
      </w:pPr>
      <w:r>
        <w:t>Checked every column for missing values using df.isnull().sum().</w:t>
      </w:r>
    </w:p>
    <w:p>
      <w:pPr>
        <w:pStyle w:val="ListBullet"/>
        <w:spacing w:after="40"/>
      </w:pPr>
      <w:r>
        <w:t>Checked the number of unique values in each column using df.nunique().</w:t>
      </w:r>
    </w:p>
    <w:p>
      <w:pPr>
        <w:spacing w:after="100" w:line="259" w:lineRule="auto"/>
      </w:pPr>
      <w:r>
        <w:t>This inspection provided an overall understanding of the dataset before any preprocessing was performed.</w:t>
      </w:r>
    </w:p>
    <w:p>
      <w:pPr>
        <w:spacing w:before="200" w:after="80"/>
      </w:pPr>
      <w:r>
        <w:rPr>
          <w:b/>
          <w:sz w:val="30"/>
        </w:rPr>
        <w:t>4. Data Cleaning</w:t>
      </w:r>
    </w:p>
    <w:p>
      <w:pPr>
        <w:spacing w:after="100" w:line="259" w:lineRule="auto"/>
      </w:pPr>
      <w:r>
        <w:t>The next stage focused on basic data-quality checks and making the column names consistent.</w:t>
      </w:r>
    </w:p>
    <w:p>
      <w:pPr>
        <w:spacing w:before="140" w:after="80"/>
      </w:pPr>
      <w:r>
        <w:rPr>
          <w:b/>
          <w:sz w:val="24"/>
        </w:rPr>
        <w:t>4.1 Missing Values</w:t>
      </w:r>
    </w:p>
    <w:p>
      <w:pPr>
        <w:spacing w:after="100" w:line="259" w:lineRule="auto"/>
      </w:pPr>
      <w:r>
        <w:t>The dataset was checked for missing values using df.isnull().sum(). This check was completed before moving forward with the preprocessing process.</w:t>
      </w:r>
    </w:p>
    <w:p>
      <w:pPr>
        <w:spacing w:before="140" w:after="80"/>
      </w:pPr>
      <w:r>
        <w:rPr>
          <w:b/>
          <w:sz w:val="24"/>
        </w:rPr>
        <w:t>4.2 Duplicate Records</w:t>
      </w:r>
    </w:p>
    <w:p>
      <w:pPr>
        <w:spacing w:after="100" w:line="259" w:lineRule="auto"/>
      </w:pPr>
      <w:r>
        <w:t>Duplicate rows were checked using df.duplicated().sum(). This was used to identify whether completely duplicated records were present in the dataset.</w:t>
      </w:r>
    </w:p>
    <w:p>
      <w:pPr>
        <w:spacing w:before="140" w:after="80"/>
      </w:pPr>
      <w:r>
        <w:rPr>
          <w:b/>
          <w:sz w:val="24"/>
        </w:rPr>
        <w:t>4.3 Standardizing Column Names</w:t>
      </w:r>
    </w:p>
    <w:p>
      <w:pPr>
        <w:spacing w:after="100" w:line="259" w:lineRule="auto"/>
      </w:pPr>
      <w:r>
        <w:t>The column names were standardized by removing leading and trailing spaces, converting names to lowercase, and replacing spaces with underscores. This made the column names easier to reference consistently in Python.</w:t>
      </w:r>
    </w:p>
    <w:p>
      <w:pPr>
        <w:spacing w:after="100" w:line="259" w:lineRule="auto"/>
      </w:pPr>
      <w:r>
        <w:t>Examples of the standardized column names include:</w:t>
      </w:r>
    </w:p>
    <w:p>
      <w:pPr>
        <w:pStyle w:val="ListBullet"/>
        <w:spacing w:after="40"/>
      </w:pPr>
      <w:r>
        <w:t>limit_bal</w:t>
      </w:r>
    </w:p>
    <w:p>
      <w:pPr>
        <w:pStyle w:val="ListBullet"/>
        <w:spacing w:after="40"/>
      </w:pPr>
      <w:r>
        <w:t>education</w:t>
      </w:r>
    </w:p>
    <w:p>
      <w:pPr>
        <w:pStyle w:val="ListBullet"/>
        <w:spacing w:after="40"/>
      </w:pPr>
      <w:r>
        <w:t>bill_amt1</w:t>
      </w:r>
    </w:p>
    <w:p>
      <w:pPr>
        <w:pStyle w:val="ListBullet"/>
        <w:spacing w:after="40"/>
      </w:pPr>
      <w:r>
        <w:t>pay_amt1</w:t>
      </w:r>
    </w:p>
    <w:p>
      <w:pPr>
        <w:pStyle w:val="ListBullet"/>
        <w:spacing w:after="40"/>
      </w:pPr>
      <w:r>
        <w:t>default</w:t>
      </w:r>
    </w:p>
    <w:p>
      <w:pPr>
        <w:spacing w:before="200" w:after="80"/>
      </w:pPr>
      <w:r>
        <w:rPr>
          <w:b/>
          <w:sz w:val="30"/>
        </w:rPr>
        <w:t>5. Exploratory Data Analysis</w:t>
      </w:r>
    </w:p>
    <w:p>
      <w:pPr>
        <w:spacing w:after="100" w:line="259" w:lineRule="auto"/>
      </w:pPr>
      <w:r>
        <w:t>Exploratory Data Analysis was performed to understand the distributions of important variables and examine relationships within the dataset. The analysis used visualizations created with Matplotlib and Seaborn.</w:t>
      </w:r>
    </w:p>
    <w:p>
      <w:pPr>
        <w:spacing w:before="140" w:after="80"/>
      </w:pPr>
      <w:r>
        <w:rPr>
          <w:b/>
          <w:sz w:val="24"/>
        </w:rPr>
        <w:t>5.1 Distribution of Credit Limit</w:t>
      </w:r>
    </w:p>
    <w:p>
      <w:pPr>
        <w:spacing w:after="100" w:line="259" w:lineRule="auto"/>
      </w:pPr>
      <w:r>
        <w:t>A histogram with a kernel density estimate was created for limit_bal. The graph was used to understand how customer credit limits are distributed across the dataset. The distribution is concentrated toward lower and moderate credit-limit values, with fewer observations at the higher end.</w:t>
      </w:r>
    </w:p>
    <w:p>
      <w:pPr>
        <w:spacing w:before="140" w:after="80"/>
      </w:pPr>
      <w:r>
        <w:rPr>
          <w:b/>
          <w:sz w:val="24"/>
        </w:rPr>
        <w:t>5.2 Distribution of Customer Age</w:t>
      </w:r>
    </w:p>
    <w:p>
      <w:pPr>
        <w:spacing w:after="100" w:line="259" w:lineRule="auto"/>
      </w:pPr>
      <w:r>
        <w:t>A histogram with a kernel density estimate was created for age. The graph shows that the dataset contains a larger concentration of customers in the younger and middle-age ranges, with fewer observations toward the older end of the distribution.</w:t>
      </w:r>
    </w:p>
    <w:p>
      <w:pPr>
        <w:spacing w:before="140" w:after="80"/>
      </w:pPr>
      <w:r>
        <w:rPr>
          <w:b/>
          <w:sz w:val="24"/>
        </w:rPr>
        <w:t>5.3 Distribution of Credit Card Default</w:t>
      </w:r>
    </w:p>
    <w:p>
      <w:pPr>
        <w:spacing w:after="100" w:line="259" w:lineRule="auto"/>
      </w:pPr>
      <w:r>
        <w:t>A count plot was used to examine the target variable, default. The observed class counts were:</w:t>
      </w:r>
    </w:p>
    <w:tbl>
      <w:tblPr>
        <w:tblStyle w:val="TableGrid"/>
        <w:tblW w:type="auto" w:w="0"/>
        <w:jc w:val="center"/>
        <w:tblLook w:firstColumn="1" w:firstRow="1" w:lastColumn="0" w:lastRow="0" w:noHBand="0" w:noVBand="1" w:val="04A0"/>
      </w:tblPr>
      <w:tblGrid>
        <w:gridCol w:w="4968"/>
        <w:gridCol w:w="4968"/>
      </w:tblGrid>
      <w:tr>
        <w:tc>
          <w:tcPr>
            <w:tcW w:type="dxa" w:w="4968"/>
            <w:shd w:fill="E8EEF7"/>
          </w:tcPr>
          <w:p>
            <w:r>
              <w:t>Default Status</w:t>
            </w:r>
          </w:p>
        </w:tc>
        <w:tc>
          <w:tcPr>
            <w:tcW w:type="dxa" w:w="4968"/>
            <w:shd w:fill="E8EEF7"/>
          </w:tcPr>
          <w:p>
            <w:r>
              <w:t>Number of Customers</w:t>
            </w:r>
          </w:p>
        </w:tc>
      </w:tr>
      <w:tr>
        <w:tc>
          <w:tcPr>
            <w:tcW w:type="dxa" w:w="4968"/>
          </w:tcPr>
          <w:p>
            <w:r>
              <w:t>N</w:t>
            </w:r>
          </w:p>
        </w:tc>
        <w:tc>
          <w:tcPr>
            <w:tcW w:type="dxa" w:w="4968"/>
          </w:tcPr>
          <w:p>
            <w:r>
              <w:t>23,364</w:t>
            </w:r>
          </w:p>
        </w:tc>
      </w:tr>
      <w:tr>
        <w:tc>
          <w:tcPr>
            <w:tcW w:type="dxa" w:w="4968"/>
          </w:tcPr>
          <w:p>
            <w:r>
              <w:t>Y</w:t>
            </w:r>
          </w:p>
        </w:tc>
        <w:tc>
          <w:tcPr>
            <w:tcW w:type="dxa" w:w="4968"/>
          </w:tcPr>
          <w:p>
            <w:r>
              <w:t>6,636</w:t>
            </w:r>
          </w:p>
        </w:tc>
      </w:tr>
    </w:tbl>
    <w:p>
      <w:pPr>
        <w:spacing w:after="100" w:line="259" w:lineRule="auto"/>
      </w:pPr>
      <w:r>
        <w:t>The plot shows that the two classes are not evenly distributed. Non-default customers make up the larger portion of the dataset, while default customers represent the smaller class.</w:t>
      </w:r>
    </w:p>
    <w:p>
      <w:pPr>
        <w:spacing w:before="140" w:after="80"/>
      </w:pPr>
      <w:r>
        <w:rPr>
          <w:b/>
          <w:sz w:val="24"/>
        </w:rPr>
        <w:t>5.4 Credit Limit by Default Status</w:t>
      </w:r>
    </w:p>
    <w:p>
      <w:pPr>
        <w:spacing w:after="100" w:line="259" w:lineRule="auto"/>
      </w:pPr>
      <w:r>
        <w:t>A boxplot was created with default on the x-axis and limit_bal on the y-axis. This visualization was used to compare the distribution of credit limits between the default and non-default groups. It also provided a visual view of the spread and extreme observations within the groups.</w:t>
      </w:r>
    </w:p>
    <w:p>
      <w:pPr>
        <w:spacing w:before="140" w:after="80"/>
      </w:pPr>
      <w:r>
        <w:rPr>
          <w:b/>
          <w:sz w:val="24"/>
        </w:rPr>
        <w:t>5.5 Correlation Analysis</w:t>
      </w:r>
    </w:p>
    <w:p>
      <w:pPr>
        <w:spacing w:after="100" w:line="259" w:lineRule="auto"/>
      </w:pPr>
      <w:r>
        <w:t>A correlation matrix and heatmap were created for selected numerical variables. The analysis included credit limit, age, six monthly bill amounts, and six payment amounts.</w:t>
      </w:r>
    </w:p>
    <w:p>
      <w:pPr>
        <w:spacing w:after="100" w:line="259" w:lineRule="auto"/>
      </w:pPr>
      <w:r>
        <w:t>The heatmap provides an overall view of linear relationships between these numerical variables. It is useful for identifying variables that have stronger relationships with one another before model development.</w:t>
      </w:r>
    </w:p>
    <w:p>
      <w:pPr>
        <w:spacing w:before="200" w:after="80"/>
      </w:pPr>
      <w:r>
        <w:rPr>
          <w:b/>
          <w:sz w:val="30"/>
        </w:rPr>
        <w:t>6. Outlier Detection &amp; Treatment</w:t>
      </w:r>
    </w:p>
    <w:p>
      <w:pPr>
        <w:spacing w:after="100" w:line="259" w:lineRule="auto"/>
      </w:pPr>
      <w:r>
        <w:t>Potential outliers were examined using the Interquartile Range (IQR) method. The numerical variables selected for this analysis were limit_bal, age, bill_amt1 through bill_amt6, and pay_amt1 through pay_amt6.</w:t>
      </w:r>
    </w:p>
    <w:p>
      <w:pPr>
        <w:spacing w:after="100" w:line="259" w:lineRule="auto"/>
      </w:pPr>
      <w:r>
        <w:t>The IQR method used the following calculations:</w:t>
      </w:r>
    </w:p>
    <w:p>
      <w:pPr>
        <w:pStyle w:val="ListBullet"/>
        <w:spacing w:after="40"/>
      </w:pPr>
      <w:r>
        <w:t>Q1 = 25th percentile</w:t>
      </w:r>
    </w:p>
    <w:p>
      <w:pPr>
        <w:pStyle w:val="ListBullet"/>
        <w:spacing w:after="40"/>
      </w:pPr>
      <w:r>
        <w:t>Q3 = 75th percentile</w:t>
      </w:r>
    </w:p>
    <w:p>
      <w:pPr>
        <w:pStyle w:val="ListBullet"/>
        <w:spacing w:after="40"/>
      </w:pPr>
      <w:r>
        <w:t>IQR = Q3 − Q1</w:t>
      </w:r>
    </w:p>
    <w:p>
      <w:pPr>
        <w:pStyle w:val="ListBullet"/>
        <w:spacing w:after="40"/>
      </w:pPr>
      <w:r>
        <w:t>Lower boundary = Q1 − 1.5 × IQR</w:t>
      </w:r>
    </w:p>
    <w:p>
      <w:pPr>
        <w:pStyle w:val="ListBullet"/>
        <w:spacing w:after="40"/>
      </w:pPr>
      <w:r>
        <w:t>Upper boundary = Q3 + 1.5 × IQR</w:t>
      </w:r>
    </w:p>
    <w:p>
      <w:pPr>
        <w:spacing w:after="100" w:line="259" w:lineRule="auto"/>
      </w:pPr>
      <w:r>
        <w:t>The number of observations identified as potential outliers before treatment was:</w:t>
      </w:r>
    </w:p>
    <w:tbl>
      <w:tblPr>
        <w:tblStyle w:val="TableGrid"/>
        <w:tblW w:type="auto" w:w="0"/>
        <w:jc w:val="center"/>
        <w:tblLook w:firstColumn="1" w:firstRow="1" w:lastColumn="0" w:lastRow="0" w:noHBand="0" w:noVBand="1" w:val="04A0"/>
      </w:tblPr>
      <w:tblGrid>
        <w:gridCol w:w="4968"/>
        <w:gridCol w:w="4968"/>
      </w:tblGrid>
      <w:tr>
        <w:tc>
          <w:tcPr>
            <w:tcW w:type="dxa" w:w="4968"/>
            <w:shd w:fill="E8EEF7"/>
          </w:tcPr>
          <w:p>
            <w:r>
              <w:t>Variable</w:t>
            </w:r>
          </w:p>
        </w:tc>
        <w:tc>
          <w:tcPr>
            <w:tcW w:type="dxa" w:w="4968"/>
            <w:shd w:fill="E8EEF7"/>
          </w:tcPr>
          <w:p>
            <w:r>
              <w:t>Potential outliers</w:t>
            </w:r>
          </w:p>
        </w:tc>
      </w:tr>
      <w:tr>
        <w:tc>
          <w:tcPr>
            <w:tcW w:type="dxa" w:w="4968"/>
          </w:tcPr>
          <w:p>
            <w:r>
              <w:t>limit_bal</w:t>
            </w:r>
          </w:p>
        </w:tc>
        <w:tc>
          <w:tcPr>
            <w:tcW w:type="dxa" w:w="4968"/>
          </w:tcPr>
          <w:p>
            <w:r>
              <w:t>167</w:t>
            </w:r>
          </w:p>
        </w:tc>
      </w:tr>
      <w:tr>
        <w:tc>
          <w:tcPr>
            <w:tcW w:type="dxa" w:w="4968"/>
          </w:tcPr>
          <w:p>
            <w:r>
              <w:t>age</w:t>
            </w:r>
          </w:p>
        </w:tc>
        <w:tc>
          <w:tcPr>
            <w:tcW w:type="dxa" w:w="4968"/>
          </w:tcPr>
          <w:p>
            <w:r>
              <w:t>272</w:t>
            </w:r>
          </w:p>
        </w:tc>
      </w:tr>
      <w:tr>
        <w:tc>
          <w:tcPr>
            <w:tcW w:type="dxa" w:w="4968"/>
          </w:tcPr>
          <w:p>
            <w:r>
              <w:t>bill_amt1</w:t>
            </w:r>
          </w:p>
        </w:tc>
        <w:tc>
          <w:tcPr>
            <w:tcW w:type="dxa" w:w="4968"/>
          </w:tcPr>
          <w:p>
            <w:r>
              <w:t>2,400</w:t>
            </w:r>
          </w:p>
        </w:tc>
      </w:tr>
      <w:tr>
        <w:tc>
          <w:tcPr>
            <w:tcW w:type="dxa" w:w="4968"/>
          </w:tcPr>
          <w:p>
            <w:r>
              <w:t>bill_amt2</w:t>
            </w:r>
          </w:p>
        </w:tc>
        <w:tc>
          <w:tcPr>
            <w:tcW w:type="dxa" w:w="4968"/>
          </w:tcPr>
          <w:p>
            <w:r>
              <w:t>2,395</w:t>
            </w:r>
          </w:p>
        </w:tc>
      </w:tr>
      <w:tr>
        <w:tc>
          <w:tcPr>
            <w:tcW w:type="dxa" w:w="4968"/>
          </w:tcPr>
          <w:p>
            <w:r>
              <w:t>bill_amt3</w:t>
            </w:r>
          </w:p>
        </w:tc>
        <w:tc>
          <w:tcPr>
            <w:tcW w:type="dxa" w:w="4968"/>
          </w:tcPr>
          <w:p>
            <w:r>
              <w:t>2,469</w:t>
            </w:r>
          </w:p>
        </w:tc>
      </w:tr>
      <w:tr>
        <w:tc>
          <w:tcPr>
            <w:tcW w:type="dxa" w:w="4968"/>
          </w:tcPr>
          <w:p>
            <w:r>
              <w:t>bill_amt4</w:t>
            </w:r>
          </w:p>
        </w:tc>
        <w:tc>
          <w:tcPr>
            <w:tcW w:type="dxa" w:w="4968"/>
          </w:tcPr>
          <w:p>
            <w:r>
              <w:t>2,622</w:t>
            </w:r>
          </w:p>
        </w:tc>
      </w:tr>
      <w:tr>
        <w:tc>
          <w:tcPr>
            <w:tcW w:type="dxa" w:w="4968"/>
          </w:tcPr>
          <w:p>
            <w:r>
              <w:t>bill_amt5</w:t>
            </w:r>
          </w:p>
        </w:tc>
        <w:tc>
          <w:tcPr>
            <w:tcW w:type="dxa" w:w="4968"/>
          </w:tcPr>
          <w:p>
            <w:r>
              <w:t>2,725</w:t>
            </w:r>
          </w:p>
        </w:tc>
      </w:tr>
      <w:tr>
        <w:tc>
          <w:tcPr>
            <w:tcW w:type="dxa" w:w="4968"/>
          </w:tcPr>
          <w:p>
            <w:r>
              <w:t>bill_amt6</w:t>
            </w:r>
          </w:p>
        </w:tc>
        <w:tc>
          <w:tcPr>
            <w:tcW w:type="dxa" w:w="4968"/>
          </w:tcPr>
          <w:p>
            <w:r>
              <w:t>2,693</w:t>
            </w:r>
          </w:p>
        </w:tc>
      </w:tr>
      <w:tr>
        <w:tc>
          <w:tcPr>
            <w:tcW w:type="dxa" w:w="4968"/>
          </w:tcPr>
          <w:p>
            <w:r>
              <w:t>pay_amt1</w:t>
            </w:r>
          </w:p>
        </w:tc>
        <w:tc>
          <w:tcPr>
            <w:tcW w:type="dxa" w:w="4968"/>
          </w:tcPr>
          <w:p>
            <w:r>
              <w:t>2,745</w:t>
            </w:r>
          </w:p>
        </w:tc>
      </w:tr>
      <w:tr>
        <w:tc>
          <w:tcPr>
            <w:tcW w:type="dxa" w:w="4968"/>
          </w:tcPr>
          <w:p>
            <w:r>
              <w:t>pay_amt2</w:t>
            </w:r>
          </w:p>
        </w:tc>
        <w:tc>
          <w:tcPr>
            <w:tcW w:type="dxa" w:w="4968"/>
          </w:tcPr>
          <w:p>
            <w:r>
              <w:t>2,714</w:t>
            </w:r>
          </w:p>
        </w:tc>
      </w:tr>
      <w:tr>
        <w:tc>
          <w:tcPr>
            <w:tcW w:type="dxa" w:w="4968"/>
          </w:tcPr>
          <w:p>
            <w:r>
              <w:t>pay_amt3</w:t>
            </w:r>
          </w:p>
        </w:tc>
        <w:tc>
          <w:tcPr>
            <w:tcW w:type="dxa" w:w="4968"/>
          </w:tcPr>
          <w:p>
            <w:r>
              <w:t>2,598</w:t>
            </w:r>
          </w:p>
        </w:tc>
      </w:tr>
      <w:tr>
        <w:tc>
          <w:tcPr>
            <w:tcW w:type="dxa" w:w="4968"/>
          </w:tcPr>
          <w:p>
            <w:r>
              <w:t>pay_amt4</w:t>
            </w:r>
          </w:p>
        </w:tc>
        <w:tc>
          <w:tcPr>
            <w:tcW w:type="dxa" w:w="4968"/>
          </w:tcPr>
          <w:p>
            <w:r>
              <w:t>2,994</w:t>
            </w:r>
          </w:p>
        </w:tc>
      </w:tr>
      <w:tr>
        <w:tc>
          <w:tcPr>
            <w:tcW w:type="dxa" w:w="4968"/>
          </w:tcPr>
          <w:p>
            <w:r>
              <w:t>pay_amt5</w:t>
            </w:r>
          </w:p>
        </w:tc>
        <w:tc>
          <w:tcPr>
            <w:tcW w:type="dxa" w:w="4968"/>
          </w:tcPr>
          <w:p>
            <w:r>
              <w:t>2,945</w:t>
            </w:r>
          </w:p>
        </w:tc>
      </w:tr>
      <w:tr>
        <w:tc>
          <w:tcPr>
            <w:tcW w:type="dxa" w:w="4968"/>
          </w:tcPr>
          <w:p>
            <w:r>
              <w:t>pay_amt6</w:t>
            </w:r>
          </w:p>
        </w:tc>
        <w:tc>
          <w:tcPr>
            <w:tcW w:type="dxa" w:w="4968"/>
          </w:tcPr>
          <w:p>
            <w:r>
              <w:t>2,958</w:t>
            </w:r>
          </w:p>
        </w:tc>
      </w:tr>
    </w:tbl>
    <w:p>
      <w:pPr>
        <w:spacing w:after="100" w:line="259" w:lineRule="auto"/>
      </w:pPr>
      <w:r>
        <w:t>Instead of deleting these observations, IQR capping was applied. For each selected numerical variable, values below the lower boundary were replaced by the lower boundary, and values above the upper boundary were replaced by the upper boundary. This was implemented using the Pandas clip() function.</w:t>
      </w:r>
    </w:p>
    <w:p>
      <w:pPr>
        <w:spacing w:before="200" w:after="80"/>
      </w:pPr>
      <w:r>
        <w:rPr>
          <w:b/>
          <w:sz w:val="30"/>
        </w:rPr>
        <w:t>7. Feature Encoding</w:t>
      </w:r>
    </w:p>
    <w:p>
      <w:pPr>
        <w:spacing w:after="100" w:line="259" w:lineRule="auto"/>
      </w:pPr>
      <w:r>
        <w:t>After the exploratory and outlier-treatment stages, categorical input variables were converted into numerical form so that they could be used by machine-learning algorithms.</w:t>
      </w:r>
    </w:p>
    <w:p>
      <w:pPr>
        <w:spacing w:after="100" w:line="259" w:lineRule="auto"/>
      </w:pPr>
      <w:r>
        <w:t>One-hot encoding was applied to the following categorical features:</w:t>
      </w:r>
    </w:p>
    <w:p>
      <w:pPr>
        <w:pStyle w:val="ListBullet"/>
        <w:spacing w:after="40"/>
      </w:pPr>
      <w:r>
        <w:t>sex</w:t>
      </w:r>
    </w:p>
    <w:p>
      <w:pPr>
        <w:pStyle w:val="ListBullet"/>
        <w:spacing w:after="40"/>
      </w:pPr>
      <w:r>
        <w:t>education</w:t>
      </w:r>
    </w:p>
    <w:p>
      <w:pPr>
        <w:pStyle w:val="ListBullet"/>
        <w:spacing w:after="40"/>
      </w:pPr>
      <w:r>
        <w:t>marriage</w:t>
      </w:r>
    </w:p>
    <w:p>
      <w:pPr>
        <w:spacing w:after="100" w:line="259" w:lineRule="auto"/>
      </w:pPr>
      <w:r>
        <w:t>The encoding was performed using Pandas get_dummies() with drop_first=True. This converted the categorical values into indicator columns while dropping the first category of each encoded feature.</w:t>
      </w:r>
    </w:p>
    <w:p>
      <w:pPr>
        <w:spacing w:after="100" w:line="259" w:lineRule="auto"/>
      </w:pPr>
      <w:r>
        <w:t>The target column default was also converted from text labels into binary numerical values. N was mapped to 0 and Y was mapped to 1.</w:t>
      </w:r>
    </w:p>
    <w:p>
      <w:pPr>
        <w:spacing w:before="200" w:after="80"/>
      </w:pPr>
      <w:r>
        <w:rPr>
          <w:b/>
          <w:sz w:val="30"/>
        </w:rPr>
        <w:t>8. Feature Scaling</w:t>
      </w:r>
    </w:p>
    <w:p>
      <w:pPr>
        <w:spacing w:after="100" w:line="259" w:lineRule="auto"/>
      </w:pPr>
      <w:r>
        <w:t>StandardScaler was selected for feature scaling. A scaler object was created using StandardScaler(). The scaling process was then applied after the training and testing data were separated.</w:t>
      </w:r>
    </w:p>
    <w:p>
      <w:pPr>
        <w:spacing w:after="100" w:line="259" w:lineRule="auto"/>
      </w:pPr>
      <w:r>
        <w:t>The scaler was fitted on X_train and used to transform X_train. The same fitted scaler was then used to transform X_test. This ensures that the test data does not influence the parameters learned during scaling.</w:t>
      </w:r>
    </w:p>
    <w:p>
      <w:r>
        <w:rPr>
          <w:rFonts w:ascii="Consolas" w:hAnsi="Consolas"/>
          <w:sz w:val="19"/>
        </w:rPr>
        <w:t>X_train_scaled = scaler.fit_transform(X_train)</w:t>
        <w:br/>
        <w:t>X_test_scaled = scaler.transform(X_test)</w:t>
      </w:r>
    </w:p>
    <w:p>
      <w:pPr>
        <w:spacing w:before="200" w:after="80"/>
      </w:pPr>
      <w:r>
        <w:rPr>
          <w:b/>
          <w:sz w:val="30"/>
        </w:rPr>
        <w:t>9. Train-Test Split</w:t>
      </w:r>
    </w:p>
    <w:p>
      <w:pPr>
        <w:spacing w:after="100" w:line="259" w:lineRule="auto"/>
      </w:pPr>
      <w:r>
        <w:t>The final preprocessing step was to separate the input features from the target variable and divide the dataset into training and testing sets.</w:t>
      </w:r>
    </w:p>
    <w:p>
      <w:pPr>
        <w:spacing w:after="100" w:line="259" w:lineRule="auto"/>
      </w:pPr>
      <w:r>
        <w:t>The target column default was separated from the feature matrix. An 80:20 split was used, meaning 80% of the observations were assigned to training and 20% to testing.</w:t>
      </w:r>
    </w:p>
    <w:p>
      <w:pPr>
        <w:spacing w:after="100" w:line="259" w:lineRule="auto"/>
      </w:pPr>
      <w:r>
        <w:t>The split used random_state=42 for reproducibility and stratify=y so that the relative distribution of the two target classes was maintained in the training and testing data.</w:t>
      </w:r>
    </w:p>
    <w:p>
      <w:r>
        <w:rPr>
          <w:rFonts w:ascii="Consolas" w:hAnsi="Consolas"/>
          <w:sz w:val="19"/>
        </w:rPr>
        <w:t>X = df.drop('default', axis=1)</w:t>
        <w:br/>
        <w:t>y = df['default']</w:t>
      </w:r>
    </w:p>
    <w:p>
      <w:pPr>
        <w:spacing w:before="200" w:after="80"/>
      </w:pPr>
      <w:r>
        <w:rPr>
          <w:b/>
          <w:sz w:val="30"/>
        </w:rPr>
        <w:t>10. Sprint 1 Deliverables</w:t>
      </w:r>
    </w:p>
    <w:p>
      <w:pPr>
        <w:spacing w:after="100" w:line="259" w:lineRule="auto"/>
      </w:pPr>
      <w:r>
        <w:t>The work completed during this sprint produced the following deliverables:</w:t>
      </w:r>
    </w:p>
    <w:p>
      <w:pPr>
        <w:pStyle w:val="ListBullet"/>
        <w:spacing w:after="40"/>
      </w:pPr>
      <w:r>
        <w:t>A cleaned and preprocessed credit-card dataset saved as Clean_Credit_Card_Default_Dataset.csv.</w:t>
      </w:r>
    </w:p>
    <w:p>
      <w:pPr>
        <w:pStyle w:val="ListBullet"/>
        <w:spacing w:after="40"/>
      </w:pPr>
      <w:r>
        <w:t>An EDA section containing distribution plots, a default-class plot, a credit-limit versus default boxplot, and a numerical correlation heatmap.</w:t>
      </w:r>
    </w:p>
    <w:p>
      <w:pPr>
        <w:pStyle w:val="ListBullet"/>
        <w:spacing w:after="40"/>
      </w:pPr>
      <w:r>
        <w:t>Documented preprocessing covering cleaning, outlier treatment, categorical encoding, scaling, and train-test preparation.</w:t>
      </w:r>
    </w:p>
    <w:p>
      <w:pPr>
        <w:spacing w:before="200" w:after="80"/>
      </w:pPr>
      <w:r>
        <w:rPr>
          <w:b/>
          <w:sz w:val="30"/>
        </w:rPr>
        <w:t>11. Conclusion</w:t>
      </w:r>
    </w:p>
    <w:p>
      <w:pPr>
        <w:spacing w:after="100" w:line="259" w:lineRule="auto"/>
      </w:pPr>
      <w:r>
        <w:t>Sprint 1 focused entirely on understanding and preparing the credit-card default dataset. The dataset was loaded and inspected, basic data-quality checks were completed, and the column names were standardized. Exploratory analysis was then performed to understand important distributions and relationships in the data.</w:t>
      </w:r>
    </w:p>
    <w:p>
      <w:pPr>
        <w:spacing w:after="100" w:line="259" w:lineRule="auto"/>
      </w:pPr>
      <w:r>
        <w:t>Potential numerical outliers were identified using the IQR method and treated through capping rather than removing records. Categorical predictors were converted using one-hot encoding, the default target was converted to a binary value, and numerical features were standardized.</w:t>
      </w:r>
    </w:p>
    <w:p>
      <w:pPr>
        <w:spacing w:after="100" w:line="259" w:lineRule="auto"/>
      </w:pPr>
      <w:r>
        <w:t>Finally, the data was divided into training and testing sets using an 80:20 stratified split. At the end of Sprint 1, the dataset and preprocessing workflow were ready for the subsequent machine-learning stage.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Credit Card Default Risk Prediction System | Sprint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