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ตารางสรุปผลการศึกษาต่อในระดับอุดมศึกษา</w:t>
      </w:r>
    </w:p>
    <w:p>
      <w:pPr>
        <w:pStyle w:val="pStyle"/>
      </w:pPr>
      <w:r>
        <w:rPr>
          <w:rStyle w:val="rStyle"/>
        </w:rPr>
        <w:t xml:space="preserve">ของนักเรียนชั้นมัธยมศึกษาปีที่ 6  ปีการศึกษา 2559  ( ราชวิทย์ 48 )</w:t>
      </w:r>
    </w:p>
    <w:tbl>
      <w:tblPr>
        <w:tblStyle w:val="myOwnTableStyle"/>
      </w:tblPr>
      <w:tr>
        <w:trPr>
          <w:trHeight w:val="200"/>
        </w:trPr>
        <w:tc>
          <w:tcPr>
            <w:tcW w:w="1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ลำดับ</w:t>
            </w:r>
          </w:p>
        </w:tc>
        <w:tc>
          <w:tcPr>
            <w:tcW w:w="7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ผลการศึกษาต่อในระดับอุดมศึกษา</w:t>
            </w:r>
          </w:p>
        </w:tc>
        <w:tc>
          <w:tcPr>
            <w:tcW w:w="3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จำนวน</w:t>
            </w:r>
          </w:p>
        </w:tc>
        <w:tc>
          <w:tcPr>
            <w:tcW w:w="3000" w:type="dxa"/>
            <w:vAlign w:val="center"/>
          </w:tcPr>
          <w:p>
            <w:r>
              <w:rPr>
                <w:sz w:val="28"/>
                <w:szCs w:val="28"/>
                <w:b/>
              </w:rPr>
              <w:t xml:space="preserve">ร้อยละ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>1</w:t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  <w:b/>
              </w:rPr>
              <w:t xml:space="preserve">ผลการศึกษาต่อในระดับอุดมศึกษา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  <w:b/>
              </w:rPr>
              <w:t xml:space="preserve">ระบบรับตรง /โควตา / Admission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-สถาบันการศึกษาของรัฐบาล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58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37.66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-สถาบันการศึกษาของเอกชน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18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11.69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สถาบันการศึกษาอื่นๆ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-สถาบันการบินพลเรือน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-โรงเรียนจ่าอากาศ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-โรงเรียนนายสิบตำรวจ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รวม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76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49.35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>2</w:t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อื่น ๆ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-ไม่ศึกษาต่อในระดับอุดมศึกษาปีการศึกษา 2559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2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1.30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-ศึกษาต่อต่างประเทศ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3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1.95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-รอแอดมิชชั่น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18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11.69</w:t>
            </w:r>
          </w:p>
        </w:tc>
      </w:tr>
      <w:tr>
        <w:tc>
          <w:tcPr>
            <w:tcW w:w="1000" w:type="dxa"/>
          </w:tcPr>
          <w:p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7000" w:type="dxa"/>
          </w:tcPr>
          <w:p>
            <w:r>
              <w:rPr>
                <w:sz w:val="28"/>
                <w:szCs w:val="28"/>
              </w:rPr>
              <w:t xml:space="preserve">รวม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78</w:t>
            </w:r>
          </w:p>
        </w:tc>
        <w:tc>
          <w:tcPr>
            <w:tcW w:w="3000" w:type="dxa"/>
          </w:tcPr>
          <w:p>
            <w:r>
              <w:rPr>
                <w:sz w:val="28"/>
                <w:szCs w:val="28"/>
              </w:rPr>
              <w:t xml:space="preserve">78.00</w:t>
            </w:r>
          </w:p>
        </w:tc>
      </w:tr>
    </w:tbl>
    <w:p>
      <w:r>
        <w:t xml:space="preserve"/>
      </w:r>
    </w:p>
    <w:p>
      <w:r>
        <w:rPr>
          <w:sz w:val="32"/>
          <w:szCs w:val="32"/>
        </w:rPr>
        <w:t xml:space="preserve">งานแนะแนว : รวบรวมข้อมูล ณ เวลา 12:36:50 วันที่ 21/03/2017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20"/>
        <w:szCs w:val="20"/>
      </w:rPr>
    </w:rPrDefault>
  </w:docDefaults>
  <w:style w:type="character">
    <w:name w:val="rStyle"/>
    <w:rPr>
      <w:sz w:val="32"/>
      <w:szCs w:val="32"/>
    </w:rPr>
  </w:style>
  <w:style w:type="paragraph" w:customStyle="1" w:styleId="pStyle">
    <w:name w:val="pStyle"/>
    <w:pPr>
      <w:jc w:val="center"/>
      <w:spacing w:after="100"/>
    </w:pPr>
  </w:style>
  <w:style w:type="paragraph" w:customStyle="1" w:styleId="sStyle">
    <w:name w:val="sStyle"/>
    <w:pPr>
      <w:jc w:val="left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H SarabunPSK"/>
        <a:font script="Hebr" typeface="TH SarabunPSK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H SarabunPSK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2017-03-21T12:36:50+07:00</dcterms:created>
  <dcterms:modified xsi:type="dcterms:W3CDTF">2017-03-21T12:36:50+07:00</dcterms:modified>
  <dc:title/>
  <dc:description/>
  <dc:subject/>
  <cp:keywords/>
  <cp:category/>
</cp:coreProperties>
</file>