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3D606" w14:textId="77777777" w:rsidR="00105FE5" w:rsidRDefault="00F84B24">
      <w:pPr>
        <w:spacing w:after="60"/>
      </w:pPr>
      <w:r>
        <w:rPr>
          <w:b/>
          <w:bCs/>
          <w:sz w:val="36"/>
          <w:szCs w:val="36"/>
        </w:rPr>
        <w:t>Cross-Border Data Transfer Analysis</w:t>
      </w:r>
    </w:p>
    <w:p w14:paraId="6D8667EA" w14:textId="77777777" w:rsidR="00105FE5" w:rsidRDefault="00F84B24">
      <w:pPr>
        <w:spacing w:after="40"/>
      </w:pPr>
      <w:proofErr w:type="spellStart"/>
      <w:r>
        <w:rPr>
          <w:b/>
          <w:bCs/>
          <w:color w:val="555555"/>
          <w:sz w:val="26"/>
          <w:szCs w:val="26"/>
        </w:rPr>
        <w:t>GlowNest</w:t>
      </w:r>
      <w:proofErr w:type="spellEnd"/>
      <w:r>
        <w:rPr>
          <w:b/>
          <w:bCs/>
          <w:color w:val="555555"/>
          <w:sz w:val="26"/>
          <w:szCs w:val="26"/>
        </w:rPr>
        <w:t xml:space="preserve"> E-Retail Private Limited</w:t>
      </w:r>
    </w:p>
    <w:p w14:paraId="584D5DA3" w14:textId="77777777" w:rsidR="00105FE5" w:rsidRDefault="00F84B24">
      <w:pPr>
        <w:spacing w:after="140"/>
      </w:pPr>
      <w:r>
        <w:rPr>
          <w:i/>
          <w:iCs/>
          <w:color w:val="777777"/>
        </w:rPr>
        <w:t>Version 1.0 — 3 July 2026</w:t>
      </w:r>
    </w:p>
    <w:p w14:paraId="2B0E2A21" w14:textId="77777777" w:rsidR="00105FE5" w:rsidRDefault="00F84B24">
      <w:pPr>
        <w:spacing w:after="140"/>
      </w:pPr>
      <w:proofErr w:type="spellStart"/>
      <w:r>
        <w:rPr>
          <w:i/>
          <w:iCs/>
          <w:color w:val="999999"/>
          <w:sz w:val="17"/>
          <w:szCs w:val="17"/>
        </w:rPr>
        <w:t>GlowNest</w:t>
      </w:r>
      <w:proofErr w:type="spellEnd"/>
      <w:r>
        <w:rPr>
          <w:i/>
          <w:iCs/>
          <w:color w:val="999999"/>
          <w:sz w:val="17"/>
          <w:szCs w:val="17"/>
        </w:rPr>
        <w:t xml:space="preserve"> is a fictional company created for training and portfolio purposes.</w:t>
      </w:r>
    </w:p>
    <w:p w14:paraId="59730DC0" w14:textId="77777777" w:rsidR="00105FE5" w:rsidRDefault="00F84B24">
      <w:pPr>
        <w:pStyle w:val="Heading1"/>
        <w:spacing w:before="300" w:after="150"/>
      </w:pPr>
      <w:r>
        <w:t>1. Why This Matters</w:t>
      </w:r>
    </w:p>
    <w:p w14:paraId="2DE36FD1" w14:textId="77777777" w:rsidR="00105FE5" w:rsidRDefault="00F84B24">
      <w:pPr>
        <w:spacing w:after="140"/>
      </w:pPr>
      <w:proofErr w:type="spellStart"/>
      <w:r>
        <w:t>GlowNest</w:t>
      </w:r>
      <w:proofErr w:type="spellEnd"/>
      <w:r>
        <w:t xml:space="preserve"> doesn't process personal data entirely within India. Support tickets, marketing emails, analytics logs, and now the </w:t>
      </w:r>
      <w:proofErr w:type="spellStart"/>
      <w:r>
        <w:t>GlowScan</w:t>
      </w:r>
      <w:proofErr w:type="spellEnd"/>
      <w:r>
        <w:t xml:space="preserve"> photos all pass through vendors based elsewhere. This document maps out exactly where customer data goes once it leaves </w:t>
      </w:r>
      <w:proofErr w:type="spellStart"/>
      <w:r>
        <w:t>GlowNest's</w:t>
      </w:r>
      <w:proofErr w:type="spellEnd"/>
      <w:r>
        <w:t xml:space="preserve"> own systems, checks that against what Section 16 of the DPDP Act actually requires, and flags what still needs fixing.</w:t>
      </w:r>
    </w:p>
    <w:p w14:paraId="09458271" w14:textId="77777777" w:rsidR="00105FE5" w:rsidRDefault="00F84B24">
      <w:pPr>
        <w:pStyle w:val="Heading1"/>
        <w:spacing w:before="300" w:after="150"/>
      </w:pPr>
      <w:r>
        <w:t>2. What the Law Actually Requires</w:t>
      </w:r>
    </w:p>
    <w:p w14:paraId="4AA9D08A" w14:textId="4A1FA7C2" w:rsidR="00105FE5" w:rsidRDefault="00F84B24">
      <w:pPr>
        <w:spacing w:after="140"/>
      </w:pPr>
      <w:r>
        <w:t>Section 16 of the DPDP Act works differently from the GDPR model most privacy templates are written around. GDPR uses a whitelist: transfers are restricted by default unless the destination country is pre</w:t>
      </w:r>
      <w:r w:rsidR="00E479E5">
        <w:t xml:space="preserve"> </w:t>
      </w:r>
      <w:r>
        <w:t xml:space="preserve">approved. Section 16 flips that. Transfers out of India are allowed by default, and the Government can restrict specific countries or territories by notification. As of this analysis, no such restricted list has been issued, so none of </w:t>
      </w:r>
      <w:proofErr w:type="spellStart"/>
      <w:r>
        <w:t>GlowNest's</w:t>
      </w:r>
      <w:proofErr w:type="spellEnd"/>
      <w:r>
        <w:t xml:space="preserve"> current vendor countries (the US, Singapore) are blocked.</w:t>
      </w:r>
    </w:p>
    <w:p w14:paraId="6FB20D68" w14:textId="77777777" w:rsidR="00105FE5" w:rsidRDefault="00F84B24">
      <w:pPr>
        <w:spacing w:after="140"/>
      </w:pPr>
      <w:r>
        <w:t xml:space="preserve">That doesn't mean cross-border transfer is a free pass, though. Rule 15 of the DPDP Rules, 2025 lets the Government attach conditions to transfers once it comes into force (expected 13 May 2027 alongside most of the Act's other operative rules), and </w:t>
      </w:r>
      <w:proofErr w:type="spellStart"/>
      <w:r>
        <w:t>GlowNest's</w:t>
      </w:r>
      <w:proofErr w:type="spellEnd"/>
      <w:r>
        <w:t xml:space="preserve"> own contractual obligations under Section 8 still apply regardless of where the data physically sits. The absence of a restricted-country list today is not the same as having no obligations.</w:t>
      </w:r>
    </w:p>
    <w:p w14:paraId="1CB92F5E" w14:textId="77777777" w:rsidR="00105FE5" w:rsidRDefault="00F84B24">
      <w:pPr>
        <w:pStyle w:val="Heading1"/>
        <w:spacing w:before="300" w:after="150"/>
      </w:pPr>
      <w:r>
        <w:t>3. Where Data Actually Goes</w:t>
      </w:r>
    </w:p>
    <w:p w14:paraId="075AE1DF" w14:textId="77777777" w:rsidR="00105FE5" w:rsidRDefault="00F84B24">
      <w:pPr>
        <w:spacing w:after="140"/>
      </w:pPr>
      <w:r>
        <w:t>This table reflects vendor relationships as they stand today, not an idealised version. A couple of these should not be considered acceptable long-term without changes.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400"/>
        <w:gridCol w:w="2200"/>
        <w:gridCol w:w="1120"/>
      </w:tblGrid>
      <w:tr w:rsidR="00105FE5" w14:paraId="7DC11EAE" w14:textId="77777777">
        <w:tblPrEx>
          <w:tblCellMar>
            <w:top w:w="0" w:type="dxa"/>
            <w:bottom w:w="0" w:type="dxa"/>
          </w:tblCellMar>
        </w:tblPrEx>
        <w:trPr>
          <w:tblHeader/>
        </w:trPr>
        <w:tc>
          <w:tcPr>
            <w:tcW w:w="2000" w:type="dxa"/>
            <w:shd w:val="clear" w:color="auto" w:fill="1F2937"/>
            <w:tcMar>
              <w:top w:w="80" w:type="dxa"/>
              <w:left w:w="100" w:type="dxa"/>
              <w:bottom w:w="80" w:type="dxa"/>
              <w:right w:w="100" w:type="dxa"/>
            </w:tcMar>
          </w:tcPr>
          <w:p w14:paraId="4497EEBE" w14:textId="77777777" w:rsidR="00105FE5" w:rsidRDefault="00F84B24">
            <w:r>
              <w:rPr>
                <w:b/>
                <w:bCs/>
                <w:sz w:val="18"/>
                <w:szCs w:val="18"/>
              </w:rPr>
              <w:t>Vendor / Purpose</w:t>
            </w:r>
          </w:p>
        </w:tc>
        <w:tc>
          <w:tcPr>
            <w:tcW w:w="1800" w:type="dxa"/>
            <w:shd w:val="clear" w:color="auto" w:fill="1F2937"/>
            <w:tcMar>
              <w:top w:w="80" w:type="dxa"/>
              <w:left w:w="100" w:type="dxa"/>
              <w:bottom w:w="80" w:type="dxa"/>
              <w:right w:w="100" w:type="dxa"/>
            </w:tcMar>
          </w:tcPr>
          <w:p w14:paraId="13AEDAD9" w14:textId="77777777" w:rsidR="00105FE5" w:rsidRDefault="00F84B24">
            <w:r>
              <w:rPr>
                <w:b/>
                <w:bCs/>
                <w:sz w:val="18"/>
                <w:szCs w:val="18"/>
              </w:rPr>
              <w:t>Destination</w:t>
            </w:r>
          </w:p>
        </w:tc>
        <w:tc>
          <w:tcPr>
            <w:tcW w:w="2400" w:type="dxa"/>
            <w:shd w:val="clear" w:color="auto" w:fill="1F2937"/>
            <w:tcMar>
              <w:top w:w="80" w:type="dxa"/>
              <w:left w:w="100" w:type="dxa"/>
              <w:bottom w:w="80" w:type="dxa"/>
              <w:right w:w="100" w:type="dxa"/>
            </w:tcMar>
          </w:tcPr>
          <w:p w14:paraId="360E78EB" w14:textId="77777777" w:rsidR="00105FE5" w:rsidRDefault="00F84B24">
            <w:r>
              <w:rPr>
                <w:b/>
                <w:bCs/>
                <w:sz w:val="18"/>
                <w:szCs w:val="18"/>
              </w:rPr>
              <w:t>Data Involved</w:t>
            </w:r>
          </w:p>
        </w:tc>
        <w:tc>
          <w:tcPr>
            <w:tcW w:w="2200" w:type="dxa"/>
            <w:shd w:val="clear" w:color="auto" w:fill="1F2937"/>
            <w:tcMar>
              <w:top w:w="80" w:type="dxa"/>
              <w:left w:w="100" w:type="dxa"/>
              <w:bottom w:w="80" w:type="dxa"/>
              <w:right w:w="100" w:type="dxa"/>
            </w:tcMar>
          </w:tcPr>
          <w:p w14:paraId="6441B127" w14:textId="77777777" w:rsidR="00105FE5" w:rsidRDefault="00F84B24">
            <w:r>
              <w:rPr>
                <w:b/>
                <w:bCs/>
                <w:sz w:val="18"/>
                <w:szCs w:val="18"/>
              </w:rPr>
              <w:t>Transfer Mechanism</w:t>
            </w:r>
          </w:p>
        </w:tc>
        <w:tc>
          <w:tcPr>
            <w:tcW w:w="1120" w:type="dxa"/>
            <w:shd w:val="clear" w:color="auto" w:fill="1F2937"/>
            <w:tcMar>
              <w:top w:w="80" w:type="dxa"/>
              <w:left w:w="100" w:type="dxa"/>
              <w:bottom w:w="80" w:type="dxa"/>
              <w:right w:w="100" w:type="dxa"/>
            </w:tcMar>
          </w:tcPr>
          <w:p w14:paraId="47360095" w14:textId="77777777" w:rsidR="00105FE5" w:rsidRDefault="00F84B24">
            <w:r>
              <w:rPr>
                <w:b/>
                <w:bCs/>
                <w:sz w:val="18"/>
                <w:szCs w:val="18"/>
              </w:rPr>
              <w:t>Risk</w:t>
            </w:r>
          </w:p>
        </w:tc>
      </w:tr>
      <w:tr w:rsidR="00105FE5" w14:paraId="47EBA00C" w14:textId="77777777">
        <w:tblPrEx>
          <w:tblCellMar>
            <w:top w:w="0" w:type="dxa"/>
            <w:bottom w:w="0" w:type="dxa"/>
          </w:tblCellMar>
        </w:tblPrEx>
        <w:tc>
          <w:tcPr>
            <w:tcW w:w="2000" w:type="dxa"/>
            <w:tcMar>
              <w:top w:w="80" w:type="dxa"/>
              <w:left w:w="100" w:type="dxa"/>
              <w:bottom w:w="80" w:type="dxa"/>
              <w:right w:w="100" w:type="dxa"/>
            </w:tcMar>
          </w:tcPr>
          <w:p w14:paraId="74C2EF25" w14:textId="28BFB9D9" w:rsidR="00105FE5" w:rsidRDefault="00F84B24">
            <w:proofErr w:type="spellStart"/>
            <w:r>
              <w:rPr>
                <w:sz w:val="18"/>
                <w:szCs w:val="18"/>
              </w:rPr>
              <w:t>CloudArc</w:t>
            </w:r>
            <w:proofErr w:type="spellEnd"/>
            <w:r>
              <w:rPr>
                <w:sz w:val="18"/>
                <w:szCs w:val="18"/>
              </w:rPr>
              <w:t xml:space="preserve"> Hosting </w:t>
            </w:r>
            <w:r>
              <w:rPr>
                <w:sz w:val="18"/>
                <w:szCs w:val="18"/>
              </w:rPr>
              <w:t xml:space="preserve"> Primary app hosting and database backups</w:t>
            </w:r>
          </w:p>
        </w:tc>
        <w:tc>
          <w:tcPr>
            <w:tcW w:w="1800" w:type="dxa"/>
            <w:tcMar>
              <w:top w:w="80" w:type="dxa"/>
              <w:left w:w="100" w:type="dxa"/>
              <w:bottom w:w="80" w:type="dxa"/>
              <w:right w:w="100" w:type="dxa"/>
            </w:tcMar>
          </w:tcPr>
          <w:p w14:paraId="755D5AE5" w14:textId="77777777" w:rsidR="00105FE5" w:rsidRDefault="00F84B24">
            <w:r>
              <w:rPr>
                <w:sz w:val="18"/>
                <w:szCs w:val="18"/>
              </w:rPr>
              <w:t>Primary: Mumbai (India). Encrypted backups replicated to Singapore.</w:t>
            </w:r>
          </w:p>
        </w:tc>
        <w:tc>
          <w:tcPr>
            <w:tcW w:w="2400" w:type="dxa"/>
            <w:tcMar>
              <w:top w:w="80" w:type="dxa"/>
              <w:left w:w="100" w:type="dxa"/>
              <w:bottom w:w="80" w:type="dxa"/>
              <w:right w:w="100" w:type="dxa"/>
            </w:tcMar>
          </w:tcPr>
          <w:p w14:paraId="1974F828" w14:textId="427A5B4B" w:rsidR="00105FE5" w:rsidRDefault="00F84B24">
            <w:r>
              <w:rPr>
                <w:sz w:val="18"/>
                <w:szCs w:val="18"/>
              </w:rPr>
              <w:t xml:space="preserve">Full customer database </w:t>
            </w:r>
            <w:r>
              <w:rPr>
                <w:sz w:val="18"/>
                <w:szCs w:val="18"/>
              </w:rPr>
              <w:t xml:space="preserve"> names, addresses, order history, account credentials</w:t>
            </w:r>
          </w:p>
        </w:tc>
        <w:tc>
          <w:tcPr>
            <w:tcW w:w="2200" w:type="dxa"/>
            <w:tcMar>
              <w:top w:w="80" w:type="dxa"/>
              <w:left w:w="100" w:type="dxa"/>
              <w:bottom w:w="80" w:type="dxa"/>
              <w:right w:w="100" w:type="dxa"/>
            </w:tcMar>
          </w:tcPr>
          <w:p w14:paraId="3760DED7" w14:textId="77777777" w:rsidR="00105FE5" w:rsidRDefault="00F84B24">
            <w:r>
              <w:rPr>
                <w:sz w:val="18"/>
                <w:szCs w:val="18"/>
              </w:rPr>
              <w:t>Vendor's standard data processing agreement, includes a cross-border transfer clause but doesn't name specific countries beyond 'AWS-supported regions'</w:t>
            </w:r>
          </w:p>
        </w:tc>
        <w:tc>
          <w:tcPr>
            <w:tcW w:w="1120" w:type="dxa"/>
            <w:shd w:val="clear" w:color="auto" w:fill="FDE7B0"/>
            <w:tcMar>
              <w:top w:w="80" w:type="dxa"/>
              <w:left w:w="100" w:type="dxa"/>
              <w:bottom w:w="80" w:type="dxa"/>
              <w:right w:w="100" w:type="dxa"/>
            </w:tcMar>
          </w:tcPr>
          <w:p w14:paraId="1A519C73" w14:textId="77777777" w:rsidR="00105FE5" w:rsidRDefault="00F84B24">
            <w:r>
              <w:rPr>
                <w:b/>
                <w:bCs/>
                <w:sz w:val="18"/>
                <w:szCs w:val="18"/>
              </w:rPr>
              <w:t>Medium</w:t>
            </w:r>
          </w:p>
        </w:tc>
      </w:tr>
      <w:tr w:rsidR="00105FE5" w14:paraId="59EF0B7A" w14:textId="77777777">
        <w:tblPrEx>
          <w:tblCellMar>
            <w:top w:w="0" w:type="dxa"/>
            <w:bottom w:w="0" w:type="dxa"/>
          </w:tblCellMar>
        </w:tblPrEx>
        <w:tc>
          <w:tcPr>
            <w:tcW w:w="2000" w:type="dxa"/>
            <w:tcMar>
              <w:top w:w="80" w:type="dxa"/>
              <w:left w:w="100" w:type="dxa"/>
              <w:bottom w:w="80" w:type="dxa"/>
              <w:right w:w="100" w:type="dxa"/>
            </w:tcMar>
          </w:tcPr>
          <w:p w14:paraId="3567D602" w14:textId="5E4970D4" w:rsidR="00105FE5" w:rsidRDefault="00F84B24">
            <w:proofErr w:type="spellStart"/>
            <w:r>
              <w:rPr>
                <w:sz w:val="18"/>
                <w:szCs w:val="18"/>
              </w:rPr>
              <w:t>HelpDeskly</w:t>
            </w:r>
            <w:proofErr w:type="spellEnd"/>
            <w:r>
              <w:rPr>
                <w:sz w:val="18"/>
                <w:szCs w:val="18"/>
              </w:rPr>
              <w:t xml:space="preserve"> </w:t>
            </w:r>
            <w:r>
              <w:rPr>
                <w:sz w:val="18"/>
                <w:szCs w:val="18"/>
              </w:rPr>
              <w:t xml:space="preserve"> Customer support ticketing and chat</w:t>
            </w:r>
          </w:p>
        </w:tc>
        <w:tc>
          <w:tcPr>
            <w:tcW w:w="1800" w:type="dxa"/>
            <w:tcMar>
              <w:top w:w="80" w:type="dxa"/>
              <w:left w:w="100" w:type="dxa"/>
              <w:bottom w:w="80" w:type="dxa"/>
              <w:right w:w="100" w:type="dxa"/>
            </w:tcMar>
          </w:tcPr>
          <w:p w14:paraId="6B89E8E9" w14:textId="77777777" w:rsidR="00105FE5" w:rsidRDefault="00F84B24">
            <w:r>
              <w:rPr>
                <w:sz w:val="18"/>
                <w:szCs w:val="18"/>
              </w:rPr>
              <w:t>United States</w:t>
            </w:r>
          </w:p>
        </w:tc>
        <w:tc>
          <w:tcPr>
            <w:tcW w:w="2400" w:type="dxa"/>
            <w:tcMar>
              <w:top w:w="80" w:type="dxa"/>
              <w:left w:w="100" w:type="dxa"/>
              <w:bottom w:w="80" w:type="dxa"/>
              <w:right w:w="100" w:type="dxa"/>
            </w:tcMar>
          </w:tcPr>
          <w:p w14:paraId="24B918D9" w14:textId="77777777" w:rsidR="00105FE5" w:rsidRDefault="00F84B24">
            <w:r>
              <w:rPr>
                <w:sz w:val="18"/>
                <w:szCs w:val="18"/>
              </w:rPr>
              <w:t>Support chat transcripts, which sometimes include order numbers, addresses, and occasionally payment-adjacent details customers paste in by mistake</w:t>
            </w:r>
          </w:p>
        </w:tc>
        <w:tc>
          <w:tcPr>
            <w:tcW w:w="2200" w:type="dxa"/>
            <w:tcMar>
              <w:top w:w="80" w:type="dxa"/>
              <w:left w:w="100" w:type="dxa"/>
              <w:bottom w:w="80" w:type="dxa"/>
              <w:right w:w="100" w:type="dxa"/>
            </w:tcMar>
          </w:tcPr>
          <w:p w14:paraId="6BFB0D61" w14:textId="77777777" w:rsidR="00105FE5" w:rsidRDefault="00F84B24">
            <w:r>
              <w:rPr>
                <w:sz w:val="18"/>
                <w:szCs w:val="18"/>
              </w:rPr>
              <w:t>Vendor's standard terms of service, no negotiated DPA in place</w:t>
            </w:r>
          </w:p>
        </w:tc>
        <w:tc>
          <w:tcPr>
            <w:tcW w:w="1120" w:type="dxa"/>
            <w:shd w:val="clear" w:color="auto" w:fill="F8CBCB"/>
            <w:tcMar>
              <w:top w:w="80" w:type="dxa"/>
              <w:left w:w="100" w:type="dxa"/>
              <w:bottom w:w="80" w:type="dxa"/>
              <w:right w:w="100" w:type="dxa"/>
            </w:tcMar>
          </w:tcPr>
          <w:p w14:paraId="193D2632" w14:textId="77777777" w:rsidR="00105FE5" w:rsidRDefault="00F84B24">
            <w:r>
              <w:rPr>
                <w:b/>
                <w:bCs/>
                <w:sz w:val="18"/>
                <w:szCs w:val="18"/>
              </w:rPr>
              <w:t>High</w:t>
            </w:r>
          </w:p>
        </w:tc>
      </w:tr>
      <w:tr w:rsidR="00105FE5" w14:paraId="1AE1D7AB" w14:textId="77777777">
        <w:tblPrEx>
          <w:tblCellMar>
            <w:top w:w="0" w:type="dxa"/>
            <w:bottom w:w="0" w:type="dxa"/>
          </w:tblCellMar>
        </w:tblPrEx>
        <w:tc>
          <w:tcPr>
            <w:tcW w:w="2000" w:type="dxa"/>
            <w:tcMar>
              <w:top w:w="80" w:type="dxa"/>
              <w:left w:w="100" w:type="dxa"/>
              <w:bottom w:w="80" w:type="dxa"/>
              <w:right w:w="100" w:type="dxa"/>
            </w:tcMar>
          </w:tcPr>
          <w:p w14:paraId="429833D1" w14:textId="29010F96" w:rsidR="00105FE5" w:rsidRDefault="00F84B24">
            <w:proofErr w:type="spellStart"/>
            <w:r>
              <w:rPr>
                <w:sz w:val="18"/>
                <w:szCs w:val="18"/>
              </w:rPr>
              <w:t>MailPulse</w:t>
            </w:r>
            <w:proofErr w:type="spellEnd"/>
            <w:r>
              <w:rPr>
                <w:sz w:val="18"/>
                <w:szCs w:val="18"/>
              </w:rPr>
              <w:t xml:space="preserve"> </w:t>
            </w:r>
            <w:r>
              <w:rPr>
                <w:sz w:val="18"/>
                <w:szCs w:val="18"/>
              </w:rPr>
              <w:t>Marketing emails and campaign analytics</w:t>
            </w:r>
          </w:p>
        </w:tc>
        <w:tc>
          <w:tcPr>
            <w:tcW w:w="1800" w:type="dxa"/>
            <w:tcMar>
              <w:top w:w="80" w:type="dxa"/>
              <w:left w:w="100" w:type="dxa"/>
              <w:bottom w:w="80" w:type="dxa"/>
              <w:right w:w="100" w:type="dxa"/>
            </w:tcMar>
          </w:tcPr>
          <w:p w14:paraId="6408B35D" w14:textId="77777777" w:rsidR="00105FE5" w:rsidRDefault="00F84B24">
            <w:r>
              <w:rPr>
                <w:sz w:val="18"/>
                <w:szCs w:val="18"/>
              </w:rPr>
              <w:t>United States</w:t>
            </w:r>
          </w:p>
        </w:tc>
        <w:tc>
          <w:tcPr>
            <w:tcW w:w="2400" w:type="dxa"/>
            <w:tcMar>
              <w:top w:w="80" w:type="dxa"/>
              <w:left w:w="100" w:type="dxa"/>
              <w:bottom w:w="80" w:type="dxa"/>
              <w:right w:w="100" w:type="dxa"/>
            </w:tcMar>
          </w:tcPr>
          <w:p w14:paraId="3CD5D9D7" w14:textId="77777777" w:rsidR="00105FE5" w:rsidRDefault="00F84B24">
            <w:r>
              <w:rPr>
                <w:sz w:val="18"/>
                <w:szCs w:val="18"/>
              </w:rPr>
              <w:t>Email addresses, names, purchase history used for segmentation, email open/click data</w:t>
            </w:r>
          </w:p>
        </w:tc>
        <w:tc>
          <w:tcPr>
            <w:tcW w:w="2200" w:type="dxa"/>
            <w:tcMar>
              <w:top w:w="80" w:type="dxa"/>
              <w:left w:w="100" w:type="dxa"/>
              <w:bottom w:w="80" w:type="dxa"/>
              <w:right w:w="100" w:type="dxa"/>
            </w:tcMar>
          </w:tcPr>
          <w:p w14:paraId="7312EBE3" w14:textId="77777777" w:rsidR="00105FE5" w:rsidRDefault="00F84B24">
            <w:r>
              <w:rPr>
                <w:sz w:val="18"/>
                <w:szCs w:val="18"/>
              </w:rPr>
              <w:t>Vendor DPA signed, includes standard contractual clauses</w:t>
            </w:r>
          </w:p>
        </w:tc>
        <w:tc>
          <w:tcPr>
            <w:tcW w:w="1120" w:type="dxa"/>
            <w:shd w:val="clear" w:color="auto" w:fill="C6E7C6"/>
            <w:tcMar>
              <w:top w:w="80" w:type="dxa"/>
              <w:left w:w="100" w:type="dxa"/>
              <w:bottom w:w="80" w:type="dxa"/>
              <w:right w:w="100" w:type="dxa"/>
            </w:tcMar>
          </w:tcPr>
          <w:p w14:paraId="37F05B0D" w14:textId="77777777" w:rsidR="00105FE5" w:rsidRDefault="00F84B24">
            <w:r>
              <w:rPr>
                <w:b/>
                <w:bCs/>
                <w:sz w:val="18"/>
                <w:szCs w:val="18"/>
              </w:rPr>
              <w:t>Low</w:t>
            </w:r>
          </w:p>
        </w:tc>
      </w:tr>
      <w:tr w:rsidR="00105FE5" w14:paraId="1FDF7147" w14:textId="77777777">
        <w:tblPrEx>
          <w:tblCellMar>
            <w:top w:w="0" w:type="dxa"/>
            <w:bottom w:w="0" w:type="dxa"/>
          </w:tblCellMar>
        </w:tblPrEx>
        <w:tc>
          <w:tcPr>
            <w:tcW w:w="2000" w:type="dxa"/>
            <w:tcMar>
              <w:top w:w="80" w:type="dxa"/>
              <w:left w:w="100" w:type="dxa"/>
              <w:bottom w:w="80" w:type="dxa"/>
              <w:right w:w="100" w:type="dxa"/>
            </w:tcMar>
          </w:tcPr>
          <w:p w14:paraId="651B7BB5" w14:textId="1EE93204" w:rsidR="00105FE5" w:rsidRDefault="00F84B24">
            <w:proofErr w:type="spellStart"/>
            <w:r>
              <w:rPr>
                <w:sz w:val="18"/>
                <w:szCs w:val="18"/>
              </w:rPr>
              <w:t>VisionAI</w:t>
            </w:r>
            <w:proofErr w:type="spellEnd"/>
            <w:r>
              <w:rPr>
                <w:sz w:val="18"/>
                <w:szCs w:val="18"/>
              </w:rPr>
              <w:t xml:space="preserve"> Labs </w:t>
            </w:r>
            <w:r>
              <w:rPr>
                <w:sz w:val="18"/>
                <w:szCs w:val="18"/>
              </w:rPr>
              <w:t xml:space="preserve"> </w:t>
            </w:r>
            <w:proofErr w:type="spellStart"/>
            <w:r>
              <w:rPr>
                <w:sz w:val="18"/>
                <w:szCs w:val="18"/>
              </w:rPr>
              <w:t>GlowScan</w:t>
            </w:r>
            <w:proofErr w:type="spellEnd"/>
            <w:r>
              <w:rPr>
                <w:sz w:val="18"/>
                <w:szCs w:val="18"/>
              </w:rPr>
              <w:t xml:space="preserve"> facial image analysis (see DPIA)</w:t>
            </w:r>
          </w:p>
        </w:tc>
        <w:tc>
          <w:tcPr>
            <w:tcW w:w="1800" w:type="dxa"/>
            <w:tcMar>
              <w:top w:w="80" w:type="dxa"/>
              <w:left w:w="100" w:type="dxa"/>
              <w:bottom w:w="80" w:type="dxa"/>
              <w:right w:w="100" w:type="dxa"/>
            </w:tcMar>
          </w:tcPr>
          <w:p w14:paraId="6A65BE9F" w14:textId="77777777" w:rsidR="00105FE5" w:rsidRDefault="00F84B24">
            <w:r>
              <w:rPr>
                <w:sz w:val="18"/>
                <w:szCs w:val="18"/>
              </w:rPr>
              <w:t>Singapore</w:t>
            </w:r>
          </w:p>
        </w:tc>
        <w:tc>
          <w:tcPr>
            <w:tcW w:w="2400" w:type="dxa"/>
            <w:tcMar>
              <w:top w:w="80" w:type="dxa"/>
              <w:left w:w="100" w:type="dxa"/>
              <w:bottom w:w="80" w:type="dxa"/>
              <w:right w:w="100" w:type="dxa"/>
            </w:tcMar>
          </w:tcPr>
          <w:p w14:paraId="5C4EBADE" w14:textId="77777777" w:rsidR="00105FE5" w:rsidRDefault="00F84B24">
            <w:r>
              <w:rPr>
                <w:sz w:val="18"/>
                <w:szCs w:val="18"/>
              </w:rPr>
              <w:t>Facial photographs, derived skin-analysis results</w:t>
            </w:r>
          </w:p>
        </w:tc>
        <w:tc>
          <w:tcPr>
            <w:tcW w:w="2200" w:type="dxa"/>
            <w:tcMar>
              <w:top w:w="80" w:type="dxa"/>
              <w:left w:w="100" w:type="dxa"/>
              <w:bottom w:w="80" w:type="dxa"/>
              <w:right w:w="100" w:type="dxa"/>
            </w:tcMar>
          </w:tcPr>
          <w:p w14:paraId="5363C012" w14:textId="77777777" w:rsidR="00105FE5" w:rsidRDefault="00F84B24">
            <w:r>
              <w:rPr>
                <w:sz w:val="18"/>
                <w:szCs w:val="18"/>
              </w:rPr>
              <w:t>Vendor DPA under negotiation, not yet signed</w:t>
            </w:r>
          </w:p>
        </w:tc>
        <w:tc>
          <w:tcPr>
            <w:tcW w:w="1120" w:type="dxa"/>
            <w:shd w:val="clear" w:color="auto" w:fill="F8CBCB"/>
            <w:tcMar>
              <w:top w:w="80" w:type="dxa"/>
              <w:left w:w="100" w:type="dxa"/>
              <w:bottom w:w="80" w:type="dxa"/>
              <w:right w:w="100" w:type="dxa"/>
            </w:tcMar>
          </w:tcPr>
          <w:p w14:paraId="34CC622F" w14:textId="77777777" w:rsidR="00105FE5" w:rsidRDefault="00F84B24">
            <w:r>
              <w:rPr>
                <w:b/>
                <w:bCs/>
                <w:sz w:val="18"/>
                <w:szCs w:val="18"/>
              </w:rPr>
              <w:t>High</w:t>
            </w:r>
          </w:p>
        </w:tc>
      </w:tr>
      <w:tr w:rsidR="00105FE5" w14:paraId="4695F0FC" w14:textId="77777777">
        <w:tblPrEx>
          <w:tblCellMar>
            <w:top w:w="0" w:type="dxa"/>
            <w:bottom w:w="0" w:type="dxa"/>
          </w:tblCellMar>
        </w:tblPrEx>
        <w:tc>
          <w:tcPr>
            <w:tcW w:w="2000" w:type="dxa"/>
            <w:tcMar>
              <w:top w:w="80" w:type="dxa"/>
              <w:left w:w="100" w:type="dxa"/>
              <w:bottom w:w="80" w:type="dxa"/>
              <w:right w:w="100" w:type="dxa"/>
            </w:tcMar>
          </w:tcPr>
          <w:p w14:paraId="5A098037" w14:textId="566C96FC" w:rsidR="00105FE5" w:rsidRDefault="00F84B24">
            <w:proofErr w:type="spellStart"/>
            <w:r>
              <w:rPr>
                <w:sz w:val="18"/>
                <w:szCs w:val="18"/>
              </w:rPr>
              <w:t>TrackWell</w:t>
            </w:r>
            <w:proofErr w:type="spellEnd"/>
            <w:r>
              <w:rPr>
                <w:sz w:val="18"/>
                <w:szCs w:val="18"/>
              </w:rPr>
              <w:t xml:space="preserve"> Analytics </w:t>
            </w:r>
            <w:r>
              <w:rPr>
                <w:sz w:val="18"/>
                <w:szCs w:val="18"/>
              </w:rPr>
              <w:t xml:space="preserve"> App usage analytics and crash reporting</w:t>
            </w:r>
          </w:p>
        </w:tc>
        <w:tc>
          <w:tcPr>
            <w:tcW w:w="1800" w:type="dxa"/>
            <w:tcMar>
              <w:top w:w="80" w:type="dxa"/>
              <w:left w:w="100" w:type="dxa"/>
              <w:bottom w:w="80" w:type="dxa"/>
              <w:right w:w="100" w:type="dxa"/>
            </w:tcMar>
          </w:tcPr>
          <w:p w14:paraId="3988AC80" w14:textId="77777777" w:rsidR="00105FE5" w:rsidRDefault="00F84B24">
            <w:r>
              <w:rPr>
                <w:sz w:val="18"/>
                <w:szCs w:val="18"/>
              </w:rPr>
              <w:t>United States</w:t>
            </w:r>
          </w:p>
        </w:tc>
        <w:tc>
          <w:tcPr>
            <w:tcW w:w="2400" w:type="dxa"/>
            <w:tcMar>
              <w:top w:w="80" w:type="dxa"/>
              <w:left w:w="100" w:type="dxa"/>
              <w:bottom w:w="80" w:type="dxa"/>
              <w:right w:w="100" w:type="dxa"/>
            </w:tcMar>
          </w:tcPr>
          <w:p w14:paraId="4B4E8144" w14:textId="77777777" w:rsidR="00105FE5" w:rsidRDefault="00F84B24">
            <w:r>
              <w:rPr>
                <w:sz w:val="18"/>
                <w:szCs w:val="18"/>
              </w:rPr>
              <w:t>Device identifiers, IP addresses, app interaction logs</w:t>
            </w:r>
          </w:p>
        </w:tc>
        <w:tc>
          <w:tcPr>
            <w:tcW w:w="2200" w:type="dxa"/>
            <w:tcMar>
              <w:top w:w="80" w:type="dxa"/>
              <w:left w:w="100" w:type="dxa"/>
              <w:bottom w:w="80" w:type="dxa"/>
              <w:right w:w="100" w:type="dxa"/>
            </w:tcMar>
          </w:tcPr>
          <w:p w14:paraId="1DC1F495" w14:textId="77777777" w:rsidR="00105FE5" w:rsidRDefault="00F84B24">
            <w:r>
              <w:rPr>
                <w:sz w:val="18"/>
                <w:szCs w:val="18"/>
              </w:rPr>
              <w:t>Vendor's standard DPA, IP addresses truncated before leaving India</w:t>
            </w:r>
          </w:p>
        </w:tc>
        <w:tc>
          <w:tcPr>
            <w:tcW w:w="1120" w:type="dxa"/>
            <w:shd w:val="clear" w:color="auto" w:fill="C6E7C6"/>
            <w:tcMar>
              <w:top w:w="80" w:type="dxa"/>
              <w:left w:w="100" w:type="dxa"/>
              <w:bottom w:w="80" w:type="dxa"/>
              <w:right w:w="100" w:type="dxa"/>
            </w:tcMar>
          </w:tcPr>
          <w:p w14:paraId="34D0BAAB" w14:textId="77777777" w:rsidR="00105FE5" w:rsidRDefault="00F84B24">
            <w:r>
              <w:rPr>
                <w:b/>
                <w:bCs/>
                <w:sz w:val="18"/>
                <w:szCs w:val="18"/>
              </w:rPr>
              <w:t>Low</w:t>
            </w:r>
          </w:p>
        </w:tc>
      </w:tr>
    </w:tbl>
    <w:p w14:paraId="014ADC9A" w14:textId="77777777" w:rsidR="00105FE5" w:rsidRDefault="00F84B24">
      <w:pPr>
        <w:pStyle w:val="Heading1"/>
        <w:spacing w:before="300" w:after="150"/>
      </w:pPr>
      <w:r>
        <w:t>4. What Needs to Change</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800"/>
        <w:gridCol w:w="6720"/>
      </w:tblGrid>
      <w:tr w:rsidR="00105FE5" w14:paraId="302CD594" w14:textId="77777777">
        <w:tblPrEx>
          <w:tblCellMar>
            <w:top w:w="0" w:type="dxa"/>
            <w:bottom w:w="0" w:type="dxa"/>
          </w:tblCellMar>
        </w:tblPrEx>
        <w:trPr>
          <w:tblHeader/>
        </w:trPr>
        <w:tc>
          <w:tcPr>
            <w:tcW w:w="400" w:type="dxa"/>
            <w:shd w:val="clear" w:color="auto" w:fill="1F2937"/>
            <w:tcMar>
              <w:top w:w="80" w:type="dxa"/>
              <w:left w:w="100" w:type="dxa"/>
              <w:bottom w:w="80" w:type="dxa"/>
              <w:right w:w="100" w:type="dxa"/>
            </w:tcMar>
          </w:tcPr>
          <w:p w14:paraId="2FFDA663" w14:textId="77777777" w:rsidR="00105FE5" w:rsidRDefault="00F84B24">
            <w:r>
              <w:rPr>
                <w:b/>
                <w:bCs/>
                <w:sz w:val="18"/>
                <w:szCs w:val="18"/>
              </w:rPr>
              <w:t>#</w:t>
            </w:r>
          </w:p>
        </w:tc>
        <w:tc>
          <w:tcPr>
            <w:tcW w:w="1800" w:type="dxa"/>
            <w:shd w:val="clear" w:color="auto" w:fill="1F2937"/>
            <w:tcMar>
              <w:top w:w="80" w:type="dxa"/>
              <w:left w:w="100" w:type="dxa"/>
              <w:bottom w:w="80" w:type="dxa"/>
              <w:right w:w="100" w:type="dxa"/>
            </w:tcMar>
          </w:tcPr>
          <w:p w14:paraId="30E4DE69" w14:textId="77777777" w:rsidR="00105FE5" w:rsidRDefault="00F84B24">
            <w:r>
              <w:rPr>
                <w:b/>
                <w:bCs/>
                <w:sz w:val="18"/>
                <w:szCs w:val="18"/>
              </w:rPr>
              <w:t>Vendor</w:t>
            </w:r>
          </w:p>
        </w:tc>
        <w:tc>
          <w:tcPr>
            <w:tcW w:w="6720" w:type="dxa"/>
            <w:shd w:val="clear" w:color="auto" w:fill="1F2937"/>
            <w:tcMar>
              <w:top w:w="80" w:type="dxa"/>
              <w:left w:w="100" w:type="dxa"/>
              <w:bottom w:w="80" w:type="dxa"/>
              <w:right w:w="100" w:type="dxa"/>
            </w:tcMar>
          </w:tcPr>
          <w:p w14:paraId="57353B32" w14:textId="77777777" w:rsidR="00105FE5" w:rsidRDefault="00F84B24">
            <w:r>
              <w:rPr>
                <w:b/>
                <w:bCs/>
                <w:sz w:val="18"/>
                <w:szCs w:val="18"/>
              </w:rPr>
              <w:t>What Needs to Happen</w:t>
            </w:r>
          </w:p>
        </w:tc>
      </w:tr>
      <w:tr w:rsidR="00105FE5" w14:paraId="3C6DF6F6" w14:textId="77777777">
        <w:tblPrEx>
          <w:tblCellMar>
            <w:top w:w="0" w:type="dxa"/>
            <w:bottom w:w="0" w:type="dxa"/>
          </w:tblCellMar>
        </w:tblPrEx>
        <w:tc>
          <w:tcPr>
            <w:tcW w:w="400" w:type="dxa"/>
            <w:tcMar>
              <w:top w:w="80" w:type="dxa"/>
              <w:left w:w="100" w:type="dxa"/>
              <w:bottom w:w="80" w:type="dxa"/>
              <w:right w:w="100" w:type="dxa"/>
            </w:tcMar>
          </w:tcPr>
          <w:p w14:paraId="430A59EB" w14:textId="77777777" w:rsidR="00105FE5" w:rsidRDefault="00F84B24">
            <w:r>
              <w:rPr>
                <w:sz w:val="18"/>
                <w:szCs w:val="18"/>
              </w:rPr>
              <w:t>1</w:t>
            </w:r>
          </w:p>
        </w:tc>
        <w:tc>
          <w:tcPr>
            <w:tcW w:w="1800" w:type="dxa"/>
            <w:tcMar>
              <w:top w:w="80" w:type="dxa"/>
              <w:left w:w="100" w:type="dxa"/>
              <w:bottom w:w="80" w:type="dxa"/>
              <w:right w:w="100" w:type="dxa"/>
            </w:tcMar>
          </w:tcPr>
          <w:p w14:paraId="7F286D53" w14:textId="77777777" w:rsidR="00105FE5" w:rsidRDefault="00F84B24">
            <w:proofErr w:type="spellStart"/>
            <w:r>
              <w:rPr>
                <w:sz w:val="18"/>
                <w:szCs w:val="18"/>
              </w:rPr>
              <w:t>CloudArc</w:t>
            </w:r>
            <w:proofErr w:type="spellEnd"/>
            <w:r>
              <w:rPr>
                <w:sz w:val="18"/>
                <w:szCs w:val="18"/>
              </w:rPr>
              <w:t xml:space="preserve"> Hosting</w:t>
            </w:r>
          </w:p>
        </w:tc>
        <w:tc>
          <w:tcPr>
            <w:tcW w:w="6720" w:type="dxa"/>
            <w:tcMar>
              <w:top w:w="80" w:type="dxa"/>
              <w:left w:w="100" w:type="dxa"/>
              <w:bottom w:w="80" w:type="dxa"/>
              <w:right w:w="100" w:type="dxa"/>
            </w:tcMar>
          </w:tcPr>
          <w:p w14:paraId="4CF70B01" w14:textId="77777777" w:rsidR="00105FE5" w:rsidRDefault="00F84B24">
            <w:r>
              <w:rPr>
                <w:sz w:val="18"/>
                <w:szCs w:val="18"/>
              </w:rPr>
              <w:t xml:space="preserve">Contract should name Singapore specifically rather than leaving it open to any AWS region </w:t>
            </w:r>
            <w:proofErr w:type="spellStart"/>
            <w:r>
              <w:rPr>
                <w:sz w:val="18"/>
                <w:szCs w:val="18"/>
              </w:rPr>
              <w:t>GlowNest</w:t>
            </w:r>
            <w:proofErr w:type="spellEnd"/>
            <w:r>
              <w:rPr>
                <w:sz w:val="18"/>
                <w:szCs w:val="18"/>
              </w:rPr>
              <w:t xml:space="preserve"> might enable later without a fresh review.</w:t>
            </w:r>
          </w:p>
        </w:tc>
      </w:tr>
      <w:tr w:rsidR="00105FE5" w14:paraId="3F330990" w14:textId="77777777">
        <w:tblPrEx>
          <w:tblCellMar>
            <w:top w:w="0" w:type="dxa"/>
            <w:bottom w:w="0" w:type="dxa"/>
          </w:tblCellMar>
        </w:tblPrEx>
        <w:tc>
          <w:tcPr>
            <w:tcW w:w="400" w:type="dxa"/>
            <w:tcMar>
              <w:top w:w="80" w:type="dxa"/>
              <w:left w:w="100" w:type="dxa"/>
              <w:bottom w:w="80" w:type="dxa"/>
              <w:right w:w="100" w:type="dxa"/>
            </w:tcMar>
          </w:tcPr>
          <w:p w14:paraId="61A80DC9" w14:textId="77777777" w:rsidR="00105FE5" w:rsidRDefault="00F84B24">
            <w:r>
              <w:rPr>
                <w:sz w:val="18"/>
                <w:szCs w:val="18"/>
              </w:rPr>
              <w:t>2</w:t>
            </w:r>
          </w:p>
        </w:tc>
        <w:tc>
          <w:tcPr>
            <w:tcW w:w="1800" w:type="dxa"/>
            <w:tcMar>
              <w:top w:w="80" w:type="dxa"/>
              <w:left w:w="100" w:type="dxa"/>
              <w:bottom w:w="80" w:type="dxa"/>
              <w:right w:w="100" w:type="dxa"/>
            </w:tcMar>
          </w:tcPr>
          <w:p w14:paraId="0725D0BC" w14:textId="77777777" w:rsidR="00105FE5" w:rsidRDefault="00F84B24">
            <w:proofErr w:type="spellStart"/>
            <w:r>
              <w:rPr>
                <w:sz w:val="18"/>
                <w:szCs w:val="18"/>
              </w:rPr>
              <w:t>HelpDeskly</w:t>
            </w:r>
            <w:proofErr w:type="spellEnd"/>
          </w:p>
        </w:tc>
        <w:tc>
          <w:tcPr>
            <w:tcW w:w="6720" w:type="dxa"/>
            <w:tcMar>
              <w:top w:w="80" w:type="dxa"/>
              <w:left w:w="100" w:type="dxa"/>
              <w:bottom w:w="80" w:type="dxa"/>
              <w:right w:w="100" w:type="dxa"/>
            </w:tcMar>
          </w:tcPr>
          <w:p w14:paraId="50C56150" w14:textId="77777777" w:rsidR="00105FE5" w:rsidRDefault="00F84B24">
            <w:r>
              <w:rPr>
                <w:sz w:val="18"/>
                <w:szCs w:val="18"/>
              </w:rPr>
              <w:t>No signed DPA means no contractual deletion timeline or breach-notification obligation on the vendor's side. This needs a proper agreement before renewal, not just acceptance of default terms.</w:t>
            </w:r>
          </w:p>
        </w:tc>
      </w:tr>
      <w:tr w:rsidR="00105FE5" w14:paraId="4BB5665E" w14:textId="77777777">
        <w:tblPrEx>
          <w:tblCellMar>
            <w:top w:w="0" w:type="dxa"/>
            <w:bottom w:w="0" w:type="dxa"/>
          </w:tblCellMar>
        </w:tblPrEx>
        <w:tc>
          <w:tcPr>
            <w:tcW w:w="400" w:type="dxa"/>
            <w:tcMar>
              <w:top w:w="80" w:type="dxa"/>
              <w:left w:w="100" w:type="dxa"/>
              <w:bottom w:w="80" w:type="dxa"/>
              <w:right w:w="100" w:type="dxa"/>
            </w:tcMar>
          </w:tcPr>
          <w:p w14:paraId="2402A870" w14:textId="77777777" w:rsidR="00105FE5" w:rsidRDefault="00F84B24">
            <w:r>
              <w:rPr>
                <w:sz w:val="18"/>
                <w:szCs w:val="18"/>
              </w:rPr>
              <w:t>3</w:t>
            </w:r>
          </w:p>
        </w:tc>
        <w:tc>
          <w:tcPr>
            <w:tcW w:w="1800" w:type="dxa"/>
            <w:tcMar>
              <w:top w:w="80" w:type="dxa"/>
              <w:left w:w="100" w:type="dxa"/>
              <w:bottom w:w="80" w:type="dxa"/>
              <w:right w:w="100" w:type="dxa"/>
            </w:tcMar>
          </w:tcPr>
          <w:p w14:paraId="1504A356" w14:textId="77777777" w:rsidR="00105FE5" w:rsidRDefault="00F84B24">
            <w:proofErr w:type="spellStart"/>
            <w:r>
              <w:rPr>
                <w:sz w:val="18"/>
                <w:szCs w:val="18"/>
              </w:rPr>
              <w:t>VisionAI</w:t>
            </w:r>
            <w:proofErr w:type="spellEnd"/>
            <w:r>
              <w:rPr>
                <w:sz w:val="18"/>
                <w:szCs w:val="18"/>
              </w:rPr>
              <w:t xml:space="preserve"> Labs</w:t>
            </w:r>
          </w:p>
        </w:tc>
        <w:tc>
          <w:tcPr>
            <w:tcW w:w="6720" w:type="dxa"/>
            <w:tcMar>
              <w:top w:w="80" w:type="dxa"/>
              <w:left w:w="100" w:type="dxa"/>
              <w:bottom w:w="80" w:type="dxa"/>
              <w:right w:w="100" w:type="dxa"/>
            </w:tcMar>
          </w:tcPr>
          <w:p w14:paraId="6DFADB21" w14:textId="77777777" w:rsidR="00105FE5" w:rsidRDefault="00F84B24">
            <w:r>
              <w:rPr>
                <w:sz w:val="18"/>
                <w:szCs w:val="18"/>
              </w:rPr>
              <w:t xml:space="preserve">This is the highest-sensitivity data category leaving India. Do not launch </w:t>
            </w:r>
            <w:proofErr w:type="spellStart"/>
            <w:r>
              <w:rPr>
                <w:sz w:val="18"/>
                <w:szCs w:val="18"/>
              </w:rPr>
              <w:t>GlowScan</w:t>
            </w:r>
            <w:proofErr w:type="spellEnd"/>
            <w:r>
              <w:rPr>
                <w:sz w:val="18"/>
                <w:szCs w:val="18"/>
              </w:rPr>
              <w:t xml:space="preserve"> until the DPA is signed and includes a deletion timeline and a no-training-use clause, as flagged in the DPIA.</w:t>
            </w:r>
          </w:p>
        </w:tc>
      </w:tr>
    </w:tbl>
    <w:p w14:paraId="0924F4DA" w14:textId="77777777" w:rsidR="00105FE5" w:rsidRDefault="00F84B24">
      <w:pPr>
        <w:pStyle w:val="Heading1"/>
        <w:spacing w:before="300" w:after="150"/>
      </w:pPr>
      <w:r>
        <w:t>5. Recommendation</w:t>
      </w:r>
    </w:p>
    <w:p w14:paraId="69D1F45C" w14:textId="77777777" w:rsidR="00105FE5" w:rsidRDefault="00F84B24">
      <w:pPr>
        <w:spacing w:after="140"/>
      </w:pPr>
      <w:r>
        <w:t xml:space="preserve">Two items are launch-blocking: the missing </w:t>
      </w:r>
      <w:proofErr w:type="spellStart"/>
      <w:r>
        <w:t>HelpDeskly</w:t>
      </w:r>
      <w:proofErr w:type="spellEnd"/>
      <w:r>
        <w:t xml:space="preserve"> DPA and the unsigned </w:t>
      </w:r>
      <w:proofErr w:type="spellStart"/>
      <w:r>
        <w:t>VisionAI</w:t>
      </w:r>
      <w:proofErr w:type="spellEnd"/>
      <w:r>
        <w:t xml:space="preserve"> Labs agreement for </w:t>
      </w:r>
      <w:proofErr w:type="spellStart"/>
      <w:r>
        <w:t>GlowScan</w:t>
      </w:r>
      <w:proofErr w:type="spellEnd"/>
      <w:r>
        <w:t xml:space="preserve">. Neither should go live, or continue running, without a signed agreement covering deletion timelines, breach notification, and (for </w:t>
      </w:r>
      <w:proofErr w:type="spellStart"/>
      <w:r>
        <w:t>VisionAI</w:t>
      </w:r>
      <w:proofErr w:type="spellEnd"/>
      <w:r>
        <w:t xml:space="preserve"> specifically) a no-training-use clause. The </w:t>
      </w:r>
      <w:proofErr w:type="spellStart"/>
      <w:r>
        <w:t>CloudArc</w:t>
      </w:r>
      <w:proofErr w:type="spellEnd"/>
      <w:r>
        <w:t xml:space="preserve"> and </w:t>
      </w:r>
      <w:proofErr w:type="spellStart"/>
      <w:r>
        <w:t>TrackWell</w:t>
      </w:r>
      <w:proofErr w:type="spellEnd"/>
      <w:r>
        <w:t xml:space="preserve"> items are worth fixing but don't need to hold anything up. </w:t>
      </w:r>
      <w:proofErr w:type="spellStart"/>
      <w:r>
        <w:t>MailPulse</w:t>
      </w:r>
      <w:proofErr w:type="spellEnd"/>
      <w:r>
        <w:t xml:space="preserve"> is in reasonable shape as is.</w:t>
      </w:r>
    </w:p>
    <w:p w14:paraId="36984ADC" w14:textId="77777777" w:rsidR="00105FE5" w:rsidRDefault="00F84B24">
      <w:pPr>
        <w:spacing w:after="140"/>
      </w:pPr>
      <w:r>
        <w:t xml:space="preserve">This analysis should be redone whenever </w:t>
      </w:r>
      <w:proofErr w:type="spellStart"/>
      <w:r>
        <w:t>GlowNest</w:t>
      </w:r>
      <w:proofErr w:type="spellEnd"/>
      <w:r>
        <w:t xml:space="preserve"> adds a new vendor that touches personal data, and independently of that, at least once a year, since vendor terms and sub-processor lists tend to change quietly.</w:t>
      </w:r>
    </w:p>
    <w:p w14:paraId="0B7CA0CF" w14:textId="77777777" w:rsidR="00105FE5" w:rsidRDefault="00F84B24">
      <w:pPr>
        <w:pStyle w:val="Heading1"/>
        <w:spacing w:before="300" w:after="150"/>
      </w:pPr>
      <w:r>
        <w:t>6. Sign-off</w:t>
      </w:r>
    </w:p>
    <w:p w14:paraId="4731D23B" w14:textId="130F03E3" w:rsidR="00105FE5" w:rsidRDefault="00F84B24">
      <w:pPr>
        <w:spacing w:after="140"/>
      </w:pPr>
      <w:r>
        <w:t xml:space="preserve">Prepared by: </w:t>
      </w:r>
      <w:proofErr w:type="spellStart"/>
      <w:r w:rsidR="00534776">
        <w:t>Meenu</w:t>
      </w:r>
      <w:proofErr w:type="spellEnd"/>
      <w:r>
        <w:t>, Junior Privacy Analyst</w:t>
      </w:r>
    </w:p>
    <w:p w14:paraId="5D5B01A4" w14:textId="29C3C516" w:rsidR="00105FE5" w:rsidRDefault="00F84B24">
      <w:pPr>
        <w:spacing w:after="140"/>
      </w:pPr>
      <w:r>
        <w:t xml:space="preserve">Reviewed by: </w:t>
      </w:r>
      <w:r w:rsidR="007913A8">
        <w:t xml:space="preserve">Not yet reviewed by a qualified DPO, </w:t>
      </w:r>
      <w:r w:rsidR="00EF2FF5">
        <w:t>recommended before this analysis is relied on operationally</w:t>
      </w:r>
    </w:p>
    <w:p w14:paraId="075AD31D" w14:textId="77777777" w:rsidR="00105FE5" w:rsidRDefault="00F84B24">
      <w:pPr>
        <w:spacing w:after="140"/>
      </w:pPr>
      <w:r>
        <w:t xml:space="preserve">Next review date: 3 January 2027, or upon </w:t>
      </w:r>
      <w:proofErr w:type="spellStart"/>
      <w:r>
        <w:t>onboarding</w:t>
      </w:r>
      <w:proofErr w:type="spellEnd"/>
      <w:r>
        <w:t xml:space="preserve"> any new vendor handling personal data.</w:t>
      </w:r>
    </w:p>
    <w:sectPr w:rsidR="00105F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809F8"/>
    <w:multiLevelType w:val="hybridMultilevel"/>
    <w:tmpl w:val="FFFFFFFF"/>
    <w:lvl w:ilvl="0" w:tplc="2318BAFE">
      <w:start w:val="1"/>
      <w:numFmt w:val="bullet"/>
      <w:lvlText w:val="●"/>
      <w:lvlJc w:val="left"/>
      <w:pPr>
        <w:ind w:left="720" w:hanging="360"/>
      </w:pPr>
    </w:lvl>
    <w:lvl w:ilvl="1" w:tplc="14427C1E">
      <w:start w:val="1"/>
      <w:numFmt w:val="bullet"/>
      <w:lvlText w:val="○"/>
      <w:lvlJc w:val="left"/>
      <w:pPr>
        <w:ind w:left="1440" w:hanging="360"/>
      </w:pPr>
    </w:lvl>
    <w:lvl w:ilvl="2" w:tplc="122A2510">
      <w:start w:val="1"/>
      <w:numFmt w:val="bullet"/>
      <w:lvlText w:val="■"/>
      <w:lvlJc w:val="left"/>
      <w:pPr>
        <w:ind w:left="2160" w:hanging="360"/>
      </w:pPr>
    </w:lvl>
    <w:lvl w:ilvl="3" w:tplc="237EE836">
      <w:start w:val="1"/>
      <w:numFmt w:val="bullet"/>
      <w:lvlText w:val="●"/>
      <w:lvlJc w:val="left"/>
      <w:pPr>
        <w:ind w:left="2880" w:hanging="360"/>
      </w:pPr>
    </w:lvl>
    <w:lvl w:ilvl="4" w:tplc="F8C8B868">
      <w:start w:val="1"/>
      <w:numFmt w:val="bullet"/>
      <w:lvlText w:val="○"/>
      <w:lvlJc w:val="left"/>
      <w:pPr>
        <w:ind w:left="3600" w:hanging="360"/>
      </w:pPr>
    </w:lvl>
    <w:lvl w:ilvl="5" w:tplc="1B9C6EAA">
      <w:start w:val="1"/>
      <w:numFmt w:val="bullet"/>
      <w:lvlText w:val="■"/>
      <w:lvlJc w:val="left"/>
      <w:pPr>
        <w:ind w:left="4320" w:hanging="360"/>
      </w:pPr>
    </w:lvl>
    <w:lvl w:ilvl="6" w:tplc="0868E102">
      <w:start w:val="1"/>
      <w:numFmt w:val="bullet"/>
      <w:lvlText w:val="●"/>
      <w:lvlJc w:val="left"/>
      <w:pPr>
        <w:ind w:left="5040" w:hanging="360"/>
      </w:pPr>
    </w:lvl>
    <w:lvl w:ilvl="7" w:tplc="AAAC0A2E">
      <w:start w:val="1"/>
      <w:numFmt w:val="bullet"/>
      <w:lvlText w:val="●"/>
      <w:lvlJc w:val="left"/>
      <w:pPr>
        <w:ind w:left="5760" w:hanging="360"/>
      </w:pPr>
    </w:lvl>
    <w:lvl w:ilvl="8" w:tplc="DF602A40">
      <w:start w:val="1"/>
      <w:numFmt w:val="bullet"/>
      <w:lvlText w:val="●"/>
      <w:lvlJc w:val="left"/>
      <w:pPr>
        <w:ind w:left="6480" w:hanging="360"/>
      </w:pPr>
    </w:lvl>
  </w:abstractNum>
  <w:num w:numId="1" w16cid:durableId="790711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FE5"/>
    <w:rsid w:val="00105FE5"/>
    <w:rsid w:val="002E456D"/>
    <w:rsid w:val="00534776"/>
    <w:rsid w:val="005C6011"/>
    <w:rsid w:val="007913A8"/>
    <w:rsid w:val="00E479E5"/>
    <w:rsid w:val="00EF2FF5"/>
    <w:rsid w:val="00F84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742843"/>
  <w15:docId w15:val="{9CD68833-378D-0F4E-AD9D-AD5C45FDE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Meenu A J</cp:lastModifiedBy>
  <cp:revision>2</cp:revision>
  <dcterms:created xsi:type="dcterms:W3CDTF">2026-07-08T15:41:00Z</dcterms:created>
  <dcterms:modified xsi:type="dcterms:W3CDTF">2026-07-08T15:41:00Z</dcterms:modified>
</cp:coreProperties>
</file>