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B523" w14:textId="77777777" w:rsidR="00F41243" w:rsidRDefault="00E84C00">
      <w:pPr>
        <w:spacing w:after="60"/>
      </w:pPr>
      <w:r>
        <w:rPr>
          <w:b/>
          <w:bCs/>
          <w:sz w:val="38"/>
          <w:szCs w:val="38"/>
        </w:rPr>
        <w:t>Data Protection Impact Assessment</w:t>
      </w:r>
    </w:p>
    <w:p w14:paraId="75F0D9ED" w14:textId="4E5BCD1B" w:rsidR="00F41243" w:rsidRDefault="00E84C00">
      <w:pPr>
        <w:spacing w:after="40"/>
      </w:pPr>
      <w:r>
        <w:rPr>
          <w:b/>
          <w:bCs/>
          <w:color w:val="555555"/>
          <w:sz w:val="26"/>
          <w:szCs w:val="26"/>
        </w:rPr>
        <w:t xml:space="preserve">GlowScan </w:t>
      </w:r>
      <w:r>
        <w:rPr>
          <w:b/>
          <w:bCs/>
          <w:color w:val="555555"/>
          <w:sz w:val="26"/>
          <w:szCs w:val="26"/>
        </w:rPr>
        <w:t>AI-Powered Skin Analysis Feature</w:t>
      </w:r>
    </w:p>
    <w:p w14:paraId="33E54D9D" w14:textId="3C978935" w:rsidR="00F41243" w:rsidRDefault="00E84C00">
      <w:pPr>
        <w:spacing w:after="140"/>
      </w:pPr>
      <w:r>
        <w:rPr>
          <w:i/>
          <w:iCs/>
          <w:color w:val="777777"/>
        </w:rPr>
        <w:t xml:space="preserve">GlowNest E-Retail Private Limited </w:t>
      </w:r>
      <w:r>
        <w:rPr>
          <w:i/>
          <w:iCs/>
          <w:color w:val="777777"/>
        </w:rPr>
        <w:t xml:space="preserve"> Version 1.0, 3 July 2026</w:t>
      </w:r>
    </w:p>
    <w:p w14:paraId="7EDF44E4" w14:textId="6F505C37" w:rsidR="00F41243" w:rsidRDefault="00E84C00">
      <w:pPr>
        <w:spacing w:after="140"/>
      </w:pPr>
      <w:r>
        <w:rPr>
          <w:i/>
          <w:iCs/>
          <w:color w:val="999999"/>
          <w:sz w:val="17"/>
          <w:szCs w:val="17"/>
        </w:rPr>
        <w:t xml:space="preserve">GlowNest is a fictional company created for training and portfolio </w:t>
      </w:r>
      <w:r w:rsidR="00AD2EF5">
        <w:rPr>
          <w:i/>
          <w:iCs/>
          <w:color w:val="999999"/>
          <w:sz w:val="17"/>
          <w:szCs w:val="17"/>
        </w:rPr>
        <w:t xml:space="preserve">purposes.GlowNest's Significant Data Fiduciary </w:t>
      </w:r>
      <w:r w:rsidR="00DC074C">
        <w:rPr>
          <w:i/>
          <w:iCs/>
          <w:color w:val="999999"/>
          <w:sz w:val="17"/>
          <w:szCs w:val="17"/>
        </w:rPr>
        <w:t xml:space="preserve">(SDF) status has not been determined </w:t>
      </w:r>
      <w:r w:rsidR="00BB0232">
        <w:rPr>
          <w:i/>
          <w:iCs/>
          <w:color w:val="999999"/>
          <w:sz w:val="17"/>
          <w:szCs w:val="17"/>
        </w:rPr>
        <w:t>,this DPIA is conducted as a voluntary best practice ahead of any such Designation, not as a mandatory section 10</w:t>
      </w:r>
      <w:r w:rsidR="009845D6">
        <w:rPr>
          <w:i/>
          <w:iCs/>
          <w:color w:val="999999"/>
          <w:sz w:val="17"/>
          <w:szCs w:val="17"/>
        </w:rPr>
        <w:t>(2)(a) obligation</w:t>
      </w:r>
    </w:p>
    <w:p w14:paraId="5662DC42" w14:textId="77777777" w:rsidR="00F41243" w:rsidRDefault="00E84C00">
      <w:pPr>
        <w:pStyle w:val="Heading1"/>
        <w:spacing w:before="300" w:after="150"/>
      </w:pPr>
      <w:r>
        <w:t>1. Why This Assessment Exists</w:t>
      </w:r>
    </w:p>
    <w:p w14:paraId="29A8AC5D" w14:textId="2376B1B2" w:rsidR="00F41243" w:rsidRDefault="00E84C00">
      <w:pPr>
        <w:spacing w:after="140"/>
      </w:pPr>
      <w:r>
        <w:t>GlowNest's product team wants to launch GlowScan</w:t>
      </w:r>
      <w:r w:rsidR="00AA76E5">
        <w:t xml:space="preserve"> ,</w:t>
      </w:r>
      <w:r>
        <w:t xml:space="preserve"> users take or upload a photo of their face inside the app, an AI model analyses it, and the app recommends skincare products based on what it finds. Before this goes live, we need to work out what could go wrong with people's data and whether the benefit is worth the risk. This document does that, and sets out what has to be fixed before launch.</w:t>
      </w:r>
    </w:p>
    <w:p w14:paraId="46E94433" w14:textId="77777777" w:rsidR="00F41243" w:rsidRDefault="00E84C00">
      <w:pPr>
        <w:pStyle w:val="Heading1"/>
        <w:spacing w:before="300" w:after="150"/>
      </w:pPr>
      <w:r>
        <w:t>2. What the Feature Actually Does</w:t>
      </w:r>
    </w:p>
    <w:p w14:paraId="7DEA3F40" w14:textId="378599FC" w:rsidR="00F41243" w:rsidRDefault="00E84C00">
      <w:pPr>
        <w:spacing w:after="140"/>
      </w:pPr>
      <w:r>
        <w:t>A user opens GlowScan from the home screen, grants camera access, and takes a photo (or uploads one from their gallery). The photo goes to a third-party computer</w:t>
      </w:r>
      <w:r w:rsidR="00F16C6B">
        <w:t xml:space="preserve"> </w:t>
      </w:r>
      <w:r>
        <w:t xml:space="preserve">vision vendor, which returns a skin-type classification and a list of concerns </w:t>
      </w:r>
      <w:r>
        <w:t xml:space="preserve"> dryness, oiliness, visible pores, and so on. GlowNest's app then matches those tags against the product catalogue and shows a personalised recommendation list. The photo and the result are both stored against the user's account so they can revisit their profile later.</w:t>
      </w:r>
    </w:p>
    <w:p w14:paraId="1E897B94" w14:textId="77777777" w:rsidR="00F41243" w:rsidRDefault="00E84C00">
      <w:pPr>
        <w:spacing w:after="140"/>
      </w:pPr>
      <w:r>
        <w:t>Data involved: the facial photo itself, the derived skin-analysis result, the user's account ID, and, indirectly, the vendor's own processing logs.</w:t>
      </w:r>
    </w:p>
    <w:p w14:paraId="1B56A3E0" w14:textId="77777777" w:rsidR="00F41243" w:rsidRDefault="00E84C00">
      <w:pPr>
        <w:pStyle w:val="Heading1"/>
        <w:spacing w:before="300" w:after="150"/>
      </w:pPr>
      <w:r>
        <w:t>3. Is This Actually Necessary?</w:t>
      </w:r>
    </w:p>
    <w:p w14:paraId="65D98A4F" w14:textId="702AAC96" w:rsidR="00F41243" w:rsidRDefault="00E84C00">
      <w:pPr>
        <w:spacing w:after="140"/>
      </w:pPr>
      <w:r>
        <w:t>The product team's case is that photo</w:t>
      </w:r>
      <w:r w:rsidR="00E426BE">
        <w:t xml:space="preserve"> </w:t>
      </w:r>
      <w:r>
        <w:t>based analysis converts better than a self</w:t>
      </w:r>
      <w:r w:rsidR="00E426BE">
        <w:t xml:space="preserve"> </w:t>
      </w:r>
      <w:r>
        <w:t>reported quiz, because people are often wrong about their own skin type. That's a reasonable business argument, but it doesn't automatically justify collecting and storing biometric-adjacent images. A middle path exists: run the analysis, show the result immediately, and only keep the photo if the user explicitly chooses to save it for future comparison. That cuts the risk surface substantially without losing the core feature. This assessment recommends that middle path rather than storing every photo by de</w:t>
      </w:r>
      <w:r>
        <w:t>fault.</w:t>
      </w:r>
    </w:p>
    <w:p w14:paraId="659BF2E8" w14:textId="77777777" w:rsidR="00F41243" w:rsidRDefault="00E84C00">
      <w:pPr>
        <w:pStyle w:val="Heading1"/>
        <w:spacing w:before="300" w:after="150"/>
      </w:pPr>
      <w:r>
        <w:t>4. Who Was Consulted</w:t>
      </w:r>
    </w:p>
    <w:p w14:paraId="2AC291F0" w14:textId="75547E75" w:rsidR="00F41243" w:rsidRDefault="00E84C00">
      <w:pPr>
        <w:pStyle w:val="ListParagraph"/>
        <w:numPr>
          <w:ilvl w:val="0"/>
          <w:numId w:val="1"/>
        </w:numPr>
        <w:spacing w:after="80"/>
      </w:pPr>
      <w:r>
        <w:t xml:space="preserve">Product lead for GlowScan </w:t>
      </w:r>
      <w:r>
        <w:t xml:space="preserve"> walked through the intended user flow and business rationale.</w:t>
      </w:r>
    </w:p>
    <w:p w14:paraId="05656DFF" w14:textId="7C820D51" w:rsidR="00F41243" w:rsidRDefault="00E84C00">
      <w:pPr>
        <w:pStyle w:val="ListParagraph"/>
        <w:numPr>
          <w:ilvl w:val="0"/>
          <w:numId w:val="1"/>
        </w:numPr>
        <w:spacing w:after="80"/>
      </w:pPr>
      <w:r>
        <w:t xml:space="preserve">Engineering </w:t>
      </w:r>
      <w:r w:rsidR="00C03647">
        <w:t>,</w:t>
      </w:r>
      <w:r>
        <w:t xml:space="preserve"> confirmed what's technically stored today versus what's actually needed.</w:t>
      </w:r>
    </w:p>
    <w:p w14:paraId="1F397FE5" w14:textId="2445C806" w:rsidR="00F41243" w:rsidRDefault="00E84C00">
      <w:pPr>
        <w:pStyle w:val="ListParagraph"/>
        <w:numPr>
          <w:ilvl w:val="0"/>
          <w:numId w:val="1"/>
        </w:numPr>
        <w:spacing w:after="80"/>
      </w:pPr>
      <w:r>
        <w:t xml:space="preserve">The third-party vision vendor's data processing terms were reviewed, though no direct conversation with their DPO has happened yet </w:t>
      </w:r>
      <w:r>
        <w:t xml:space="preserve"> flagged as an open item below.</w:t>
      </w:r>
    </w:p>
    <w:p w14:paraId="7BEC26C4" w14:textId="77777777" w:rsidR="00F41243" w:rsidRDefault="00E84C00">
      <w:pPr>
        <w:pStyle w:val="ListParagraph"/>
        <w:numPr>
          <w:ilvl w:val="0"/>
          <w:numId w:val="1"/>
        </w:numPr>
        <w:spacing w:after="80"/>
      </w:pPr>
      <w:r>
        <w:t>No end users were consulted for this version. A short user-facing survey on comfort with photo storage would strengthen the next revision.</w:t>
      </w:r>
    </w:p>
    <w:p w14:paraId="2D981E59" w14:textId="77777777" w:rsidR="00F41243" w:rsidRDefault="00E84C00">
      <w:pPr>
        <w:pStyle w:val="Heading1"/>
        <w:spacing w:before="300" w:after="150"/>
      </w:pPr>
      <w:r>
        <w:t>5. Risk Assessment</w:t>
      </w:r>
    </w:p>
    <w:p w14:paraId="3FD0FA73" w14:textId="77777777" w:rsidR="00F41243" w:rsidRDefault="00E84C00">
      <w:pPr>
        <w:spacing w:after="140"/>
      </w:pPr>
      <w:r>
        <w:t>Likelihood (L) and Impact (I) are each scored 1–5. Score = L × I. 15+ is high risk, 8–14 is medium, below 8 is low.</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500"/>
        <w:gridCol w:w="500"/>
        <w:gridCol w:w="700"/>
        <w:gridCol w:w="4020"/>
      </w:tblGrid>
      <w:tr w:rsidR="00F41243" w14:paraId="42FE71AE" w14:textId="77777777">
        <w:tblPrEx>
          <w:tblCellMar>
            <w:top w:w="0" w:type="dxa"/>
            <w:bottom w:w="0" w:type="dxa"/>
          </w:tblCellMar>
        </w:tblPrEx>
        <w:trPr>
          <w:tblHeader/>
        </w:trPr>
        <w:tc>
          <w:tcPr>
            <w:tcW w:w="400" w:type="dxa"/>
            <w:shd w:val="clear" w:color="auto" w:fill="1F2937"/>
            <w:tcMar>
              <w:top w:w="80" w:type="dxa"/>
              <w:left w:w="100" w:type="dxa"/>
              <w:bottom w:w="80" w:type="dxa"/>
              <w:right w:w="100" w:type="dxa"/>
            </w:tcMar>
          </w:tcPr>
          <w:p w14:paraId="4F24D782" w14:textId="77777777" w:rsidR="00F41243" w:rsidRDefault="00E84C00">
            <w:r>
              <w:rPr>
                <w:b/>
                <w:bCs/>
                <w:sz w:val="18"/>
                <w:szCs w:val="18"/>
              </w:rPr>
              <w:t>#</w:t>
            </w:r>
          </w:p>
        </w:tc>
        <w:tc>
          <w:tcPr>
            <w:tcW w:w="3400" w:type="dxa"/>
            <w:shd w:val="clear" w:color="auto" w:fill="1F2937"/>
            <w:tcMar>
              <w:top w:w="80" w:type="dxa"/>
              <w:left w:w="100" w:type="dxa"/>
              <w:bottom w:w="80" w:type="dxa"/>
              <w:right w:w="100" w:type="dxa"/>
            </w:tcMar>
          </w:tcPr>
          <w:p w14:paraId="536C65E0" w14:textId="77777777" w:rsidR="00F41243" w:rsidRDefault="00E84C00">
            <w:r>
              <w:rPr>
                <w:b/>
                <w:bCs/>
                <w:sz w:val="18"/>
                <w:szCs w:val="18"/>
              </w:rPr>
              <w:t>Risk</w:t>
            </w:r>
          </w:p>
        </w:tc>
        <w:tc>
          <w:tcPr>
            <w:tcW w:w="500" w:type="dxa"/>
            <w:shd w:val="clear" w:color="auto" w:fill="1F2937"/>
            <w:tcMar>
              <w:top w:w="80" w:type="dxa"/>
              <w:left w:w="100" w:type="dxa"/>
              <w:bottom w:w="80" w:type="dxa"/>
              <w:right w:w="100" w:type="dxa"/>
            </w:tcMar>
          </w:tcPr>
          <w:p w14:paraId="008D1F71" w14:textId="77777777" w:rsidR="00F41243" w:rsidRDefault="00E84C00">
            <w:r>
              <w:rPr>
                <w:b/>
                <w:bCs/>
                <w:sz w:val="18"/>
                <w:szCs w:val="18"/>
              </w:rPr>
              <w:t>L</w:t>
            </w:r>
          </w:p>
        </w:tc>
        <w:tc>
          <w:tcPr>
            <w:tcW w:w="500" w:type="dxa"/>
            <w:shd w:val="clear" w:color="auto" w:fill="1F2937"/>
            <w:tcMar>
              <w:top w:w="80" w:type="dxa"/>
              <w:left w:w="100" w:type="dxa"/>
              <w:bottom w:w="80" w:type="dxa"/>
              <w:right w:w="100" w:type="dxa"/>
            </w:tcMar>
          </w:tcPr>
          <w:p w14:paraId="40FBD617" w14:textId="77777777" w:rsidR="00F41243" w:rsidRDefault="00E84C00">
            <w:r>
              <w:rPr>
                <w:b/>
                <w:bCs/>
                <w:sz w:val="18"/>
                <w:szCs w:val="18"/>
              </w:rPr>
              <w:t>I</w:t>
            </w:r>
          </w:p>
        </w:tc>
        <w:tc>
          <w:tcPr>
            <w:tcW w:w="700" w:type="dxa"/>
            <w:shd w:val="clear" w:color="auto" w:fill="1F2937"/>
            <w:tcMar>
              <w:top w:w="80" w:type="dxa"/>
              <w:left w:w="100" w:type="dxa"/>
              <w:bottom w:w="80" w:type="dxa"/>
              <w:right w:w="100" w:type="dxa"/>
            </w:tcMar>
          </w:tcPr>
          <w:p w14:paraId="1851185C" w14:textId="77777777" w:rsidR="00F41243" w:rsidRDefault="00E84C00">
            <w:r>
              <w:rPr>
                <w:b/>
                <w:bCs/>
                <w:sz w:val="18"/>
                <w:szCs w:val="18"/>
              </w:rPr>
              <w:t>Score</w:t>
            </w:r>
          </w:p>
        </w:tc>
        <w:tc>
          <w:tcPr>
            <w:tcW w:w="4020" w:type="dxa"/>
            <w:shd w:val="clear" w:color="auto" w:fill="1F2937"/>
            <w:tcMar>
              <w:top w:w="80" w:type="dxa"/>
              <w:left w:w="100" w:type="dxa"/>
              <w:bottom w:w="80" w:type="dxa"/>
              <w:right w:w="100" w:type="dxa"/>
            </w:tcMar>
          </w:tcPr>
          <w:p w14:paraId="7A2044DB" w14:textId="77777777" w:rsidR="00F41243" w:rsidRDefault="00E84C00">
            <w:r>
              <w:rPr>
                <w:b/>
                <w:bCs/>
                <w:sz w:val="18"/>
                <w:szCs w:val="18"/>
              </w:rPr>
              <w:t>Mitigation</w:t>
            </w:r>
          </w:p>
        </w:tc>
      </w:tr>
      <w:tr w:rsidR="00F41243" w14:paraId="25B508AD" w14:textId="77777777">
        <w:tblPrEx>
          <w:tblCellMar>
            <w:top w:w="0" w:type="dxa"/>
            <w:bottom w:w="0" w:type="dxa"/>
          </w:tblCellMar>
        </w:tblPrEx>
        <w:tc>
          <w:tcPr>
            <w:tcW w:w="400" w:type="dxa"/>
            <w:tcMar>
              <w:top w:w="80" w:type="dxa"/>
              <w:left w:w="100" w:type="dxa"/>
              <w:bottom w:w="80" w:type="dxa"/>
              <w:right w:w="100" w:type="dxa"/>
            </w:tcMar>
          </w:tcPr>
          <w:p w14:paraId="365BFE3F" w14:textId="77777777" w:rsidR="00F41243" w:rsidRDefault="00E84C00">
            <w:r>
              <w:rPr>
                <w:sz w:val="18"/>
                <w:szCs w:val="18"/>
              </w:rPr>
              <w:t>1</w:t>
            </w:r>
          </w:p>
        </w:tc>
        <w:tc>
          <w:tcPr>
            <w:tcW w:w="3400" w:type="dxa"/>
            <w:tcMar>
              <w:top w:w="80" w:type="dxa"/>
              <w:left w:w="100" w:type="dxa"/>
              <w:bottom w:w="80" w:type="dxa"/>
              <w:right w:w="100" w:type="dxa"/>
            </w:tcMar>
          </w:tcPr>
          <w:p w14:paraId="02358F28" w14:textId="77777777" w:rsidR="00F41243" w:rsidRDefault="00E84C00">
            <w:r>
              <w:rPr>
                <w:sz w:val="18"/>
                <w:szCs w:val="18"/>
              </w:rPr>
              <w:t>Facial photos are kept in storage well past the analysis itself, with no automatic deletion trigger.</w:t>
            </w:r>
          </w:p>
        </w:tc>
        <w:tc>
          <w:tcPr>
            <w:tcW w:w="500" w:type="dxa"/>
            <w:tcMar>
              <w:top w:w="80" w:type="dxa"/>
              <w:left w:w="100" w:type="dxa"/>
              <w:bottom w:w="80" w:type="dxa"/>
              <w:right w:w="100" w:type="dxa"/>
            </w:tcMar>
          </w:tcPr>
          <w:p w14:paraId="5BC1A3F5" w14:textId="77777777" w:rsidR="00F41243" w:rsidRDefault="00E84C00">
            <w:r>
              <w:rPr>
                <w:sz w:val="18"/>
                <w:szCs w:val="18"/>
              </w:rPr>
              <w:t>4</w:t>
            </w:r>
          </w:p>
        </w:tc>
        <w:tc>
          <w:tcPr>
            <w:tcW w:w="500" w:type="dxa"/>
            <w:tcMar>
              <w:top w:w="80" w:type="dxa"/>
              <w:left w:w="100" w:type="dxa"/>
              <w:bottom w:w="80" w:type="dxa"/>
              <w:right w:w="100" w:type="dxa"/>
            </w:tcMar>
          </w:tcPr>
          <w:p w14:paraId="2EBBD136" w14:textId="77777777" w:rsidR="00F41243" w:rsidRDefault="00E84C00">
            <w:r>
              <w:rPr>
                <w:sz w:val="18"/>
                <w:szCs w:val="18"/>
              </w:rPr>
              <w:t>4</w:t>
            </w:r>
          </w:p>
        </w:tc>
        <w:tc>
          <w:tcPr>
            <w:tcW w:w="700" w:type="dxa"/>
            <w:shd w:val="clear" w:color="auto" w:fill="F8CBCB"/>
            <w:tcMar>
              <w:top w:w="80" w:type="dxa"/>
              <w:left w:w="100" w:type="dxa"/>
              <w:bottom w:w="80" w:type="dxa"/>
              <w:right w:w="100" w:type="dxa"/>
            </w:tcMar>
          </w:tcPr>
          <w:p w14:paraId="7655E1FA" w14:textId="77777777" w:rsidR="00F41243" w:rsidRDefault="00E84C00">
            <w:r>
              <w:rPr>
                <w:b/>
                <w:bCs/>
                <w:sz w:val="18"/>
                <w:szCs w:val="18"/>
              </w:rPr>
              <w:t>16</w:t>
            </w:r>
          </w:p>
        </w:tc>
        <w:tc>
          <w:tcPr>
            <w:tcW w:w="4020" w:type="dxa"/>
            <w:tcMar>
              <w:top w:w="80" w:type="dxa"/>
              <w:left w:w="100" w:type="dxa"/>
              <w:bottom w:w="80" w:type="dxa"/>
              <w:right w:w="100" w:type="dxa"/>
            </w:tcMar>
          </w:tcPr>
          <w:p w14:paraId="57CB1A19" w14:textId="77777777" w:rsidR="00F41243" w:rsidRDefault="00E84C00">
            <w:r>
              <w:rPr>
                <w:sz w:val="18"/>
                <w:szCs w:val="18"/>
              </w:rPr>
              <w:t>Delete the original photo within 24 hours of generating the skin-analysis result. Keep only the derived attributes (skin type, concerns flagged) if the user opts to save their profile, and let them delete that too from their account.</w:t>
            </w:r>
          </w:p>
        </w:tc>
      </w:tr>
      <w:tr w:rsidR="00F41243" w14:paraId="4652A312" w14:textId="77777777">
        <w:tblPrEx>
          <w:tblCellMar>
            <w:top w:w="0" w:type="dxa"/>
            <w:bottom w:w="0" w:type="dxa"/>
          </w:tblCellMar>
        </w:tblPrEx>
        <w:tc>
          <w:tcPr>
            <w:tcW w:w="400" w:type="dxa"/>
            <w:tcMar>
              <w:top w:w="80" w:type="dxa"/>
              <w:left w:w="100" w:type="dxa"/>
              <w:bottom w:w="80" w:type="dxa"/>
              <w:right w:w="100" w:type="dxa"/>
            </w:tcMar>
          </w:tcPr>
          <w:p w14:paraId="2D1A954A" w14:textId="77777777" w:rsidR="00F41243" w:rsidRDefault="00E84C00">
            <w:r>
              <w:rPr>
                <w:sz w:val="18"/>
                <w:szCs w:val="18"/>
              </w:rPr>
              <w:t>2</w:t>
            </w:r>
          </w:p>
        </w:tc>
        <w:tc>
          <w:tcPr>
            <w:tcW w:w="3400" w:type="dxa"/>
            <w:tcMar>
              <w:top w:w="80" w:type="dxa"/>
              <w:left w:w="100" w:type="dxa"/>
              <w:bottom w:w="80" w:type="dxa"/>
              <w:right w:w="100" w:type="dxa"/>
            </w:tcMar>
          </w:tcPr>
          <w:p w14:paraId="6FDDF373" w14:textId="77777777" w:rsidR="00F41243" w:rsidRDefault="00E84C00">
            <w:r>
              <w:rPr>
                <w:sz w:val="18"/>
                <w:szCs w:val="18"/>
              </w:rPr>
              <w:t>The analysis runs through a third-party AI vendor whose servers are outside India, so facial images leave the country during processing.</w:t>
            </w:r>
          </w:p>
        </w:tc>
        <w:tc>
          <w:tcPr>
            <w:tcW w:w="500" w:type="dxa"/>
            <w:tcMar>
              <w:top w:w="80" w:type="dxa"/>
              <w:left w:w="100" w:type="dxa"/>
              <w:bottom w:w="80" w:type="dxa"/>
              <w:right w:w="100" w:type="dxa"/>
            </w:tcMar>
          </w:tcPr>
          <w:p w14:paraId="30D16C21" w14:textId="77777777" w:rsidR="00F41243" w:rsidRDefault="00E84C00">
            <w:r>
              <w:rPr>
                <w:sz w:val="18"/>
                <w:szCs w:val="18"/>
              </w:rPr>
              <w:t>3</w:t>
            </w:r>
          </w:p>
        </w:tc>
        <w:tc>
          <w:tcPr>
            <w:tcW w:w="500" w:type="dxa"/>
            <w:tcMar>
              <w:top w:w="80" w:type="dxa"/>
              <w:left w:w="100" w:type="dxa"/>
              <w:bottom w:w="80" w:type="dxa"/>
              <w:right w:w="100" w:type="dxa"/>
            </w:tcMar>
          </w:tcPr>
          <w:p w14:paraId="6D2DF04C" w14:textId="77777777" w:rsidR="00F41243" w:rsidRDefault="00E84C00">
            <w:r>
              <w:rPr>
                <w:sz w:val="18"/>
                <w:szCs w:val="18"/>
              </w:rPr>
              <w:t>4</w:t>
            </w:r>
          </w:p>
        </w:tc>
        <w:tc>
          <w:tcPr>
            <w:tcW w:w="700" w:type="dxa"/>
            <w:shd w:val="clear" w:color="auto" w:fill="FDE7B0"/>
            <w:tcMar>
              <w:top w:w="80" w:type="dxa"/>
              <w:left w:w="100" w:type="dxa"/>
              <w:bottom w:w="80" w:type="dxa"/>
              <w:right w:w="100" w:type="dxa"/>
            </w:tcMar>
          </w:tcPr>
          <w:p w14:paraId="16688A4C" w14:textId="77777777" w:rsidR="00F41243" w:rsidRDefault="00E84C00">
            <w:r>
              <w:rPr>
                <w:b/>
                <w:bCs/>
                <w:sz w:val="18"/>
                <w:szCs w:val="18"/>
              </w:rPr>
              <w:t>12</w:t>
            </w:r>
          </w:p>
        </w:tc>
        <w:tc>
          <w:tcPr>
            <w:tcW w:w="4020" w:type="dxa"/>
            <w:tcMar>
              <w:top w:w="80" w:type="dxa"/>
              <w:left w:w="100" w:type="dxa"/>
              <w:bottom w:w="80" w:type="dxa"/>
              <w:right w:w="100" w:type="dxa"/>
            </w:tcMar>
          </w:tcPr>
          <w:p w14:paraId="438E54A9" w14:textId="77777777" w:rsidR="00F41243" w:rsidRDefault="00E84C00">
            <w:r>
              <w:rPr>
                <w:sz w:val="18"/>
                <w:szCs w:val="18"/>
              </w:rPr>
              <w:t>Confirm the vendor's data centre location is not on any Government-restricted list, add a data processing addendum requiring immediate deletion after analysis, and get written confirmation that images aren't used to train the vendor's own models.</w:t>
            </w:r>
          </w:p>
        </w:tc>
      </w:tr>
      <w:tr w:rsidR="00F41243" w14:paraId="72D790DC" w14:textId="77777777">
        <w:tblPrEx>
          <w:tblCellMar>
            <w:top w:w="0" w:type="dxa"/>
            <w:bottom w:w="0" w:type="dxa"/>
          </w:tblCellMar>
        </w:tblPrEx>
        <w:tc>
          <w:tcPr>
            <w:tcW w:w="400" w:type="dxa"/>
            <w:tcMar>
              <w:top w:w="80" w:type="dxa"/>
              <w:left w:w="100" w:type="dxa"/>
              <w:bottom w:w="80" w:type="dxa"/>
              <w:right w:w="100" w:type="dxa"/>
            </w:tcMar>
          </w:tcPr>
          <w:p w14:paraId="6B46D4E9" w14:textId="77777777" w:rsidR="00F41243" w:rsidRDefault="00E84C00">
            <w:r>
              <w:rPr>
                <w:sz w:val="18"/>
                <w:szCs w:val="18"/>
              </w:rPr>
              <w:t>3</w:t>
            </w:r>
          </w:p>
        </w:tc>
        <w:tc>
          <w:tcPr>
            <w:tcW w:w="3400" w:type="dxa"/>
            <w:tcMar>
              <w:top w:w="80" w:type="dxa"/>
              <w:left w:w="100" w:type="dxa"/>
              <w:bottom w:w="80" w:type="dxa"/>
              <w:right w:w="100" w:type="dxa"/>
            </w:tcMar>
          </w:tcPr>
          <w:p w14:paraId="1762D3A7" w14:textId="77777777" w:rsidR="00F41243" w:rsidRDefault="00E84C00">
            <w:r>
              <w:rPr>
                <w:sz w:val="18"/>
                <w:szCs w:val="18"/>
              </w:rPr>
              <w:t>The feature has no age gate, so a user under 18 could upload a photo without any parental consent step.</w:t>
            </w:r>
          </w:p>
        </w:tc>
        <w:tc>
          <w:tcPr>
            <w:tcW w:w="500" w:type="dxa"/>
            <w:tcMar>
              <w:top w:w="80" w:type="dxa"/>
              <w:left w:w="100" w:type="dxa"/>
              <w:bottom w:w="80" w:type="dxa"/>
              <w:right w:w="100" w:type="dxa"/>
            </w:tcMar>
          </w:tcPr>
          <w:p w14:paraId="455E5B73" w14:textId="77777777" w:rsidR="00F41243" w:rsidRDefault="00E84C00">
            <w:r>
              <w:rPr>
                <w:sz w:val="18"/>
                <w:szCs w:val="18"/>
              </w:rPr>
              <w:t>3</w:t>
            </w:r>
          </w:p>
        </w:tc>
        <w:tc>
          <w:tcPr>
            <w:tcW w:w="500" w:type="dxa"/>
            <w:tcMar>
              <w:top w:w="80" w:type="dxa"/>
              <w:left w:w="100" w:type="dxa"/>
              <w:bottom w:w="80" w:type="dxa"/>
              <w:right w:w="100" w:type="dxa"/>
            </w:tcMar>
          </w:tcPr>
          <w:p w14:paraId="4FE723F1" w14:textId="77777777" w:rsidR="00F41243" w:rsidRDefault="00E84C00">
            <w:r>
              <w:rPr>
                <w:sz w:val="18"/>
                <w:szCs w:val="18"/>
              </w:rPr>
              <w:t>5</w:t>
            </w:r>
          </w:p>
        </w:tc>
        <w:tc>
          <w:tcPr>
            <w:tcW w:w="700" w:type="dxa"/>
            <w:shd w:val="clear" w:color="auto" w:fill="F8CBCB"/>
            <w:tcMar>
              <w:top w:w="80" w:type="dxa"/>
              <w:left w:w="100" w:type="dxa"/>
              <w:bottom w:w="80" w:type="dxa"/>
              <w:right w:w="100" w:type="dxa"/>
            </w:tcMar>
          </w:tcPr>
          <w:p w14:paraId="715AB43B" w14:textId="77777777" w:rsidR="00F41243" w:rsidRDefault="00E84C00">
            <w:r>
              <w:rPr>
                <w:b/>
                <w:bCs/>
                <w:sz w:val="18"/>
                <w:szCs w:val="18"/>
              </w:rPr>
              <w:t>15</w:t>
            </w:r>
          </w:p>
        </w:tc>
        <w:tc>
          <w:tcPr>
            <w:tcW w:w="4020" w:type="dxa"/>
            <w:tcMar>
              <w:top w:w="80" w:type="dxa"/>
              <w:left w:w="100" w:type="dxa"/>
              <w:bottom w:w="80" w:type="dxa"/>
              <w:right w:w="100" w:type="dxa"/>
            </w:tcMar>
          </w:tcPr>
          <w:p w14:paraId="3FC139EA" w14:textId="77777777" w:rsidR="00F41243" w:rsidRDefault="00E84C00">
            <w:r>
              <w:rPr>
                <w:sz w:val="18"/>
                <w:szCs w:val="18"/>
              </w:rPr>
              <w:t>Add an age-confirmation step before the camera opens, and route flagged accounts through the same under-18 handling already required elsewhere in the app (no targeted ads, no profiling, guardian consent needed for further use).</w:t>
            </w:r>
          </w:p>
        </w:tc>
      </w:tr>
      <w:tr w:rsidR="00F41243" w14:paraId="59352896" w14:textId="77777777">
        <w:tblPrEx>
          <w:tblCellMar>
            <w:top w:w="0" w:type="dxa"/>
            <w:bottom w:w="0" w:type="dxa"/>
          </w:tblCellMar>
        </w:tblPrEx>
        <w:tc>
          <w:tcPr>
            <w:tcW w:w="400" w:type="dxa"/>
            <w:tcMar>
              <w:top w:w="80" w:type="dxa"/>
              <w:left w:w="100" w:type="dxa"/>
              <w:bottom w:w="80" w:type="dxa"/>
              <w:right w:w="100" w:type="dxa"/>
            </w:tcMar>
          </w:tcPr>
          <w:p w14:paraId="52DD335E" w14:textId="77777777" w:rsidR="00F41243" w:rsidRDefault="00E84C00">
            <w:r>
              <w:rPr>
                <w:sz w:val="18"/>
                <w:szCs w:val="18"/>
              </w:rPr>
              <w:t>4</w:t>
            </w:r>
          </w:p>
        </w:tc>
        <w:tc>
          <w:tcPr>
            <w:tcW w:w="3400" w:type="dxa"/>
            <w:tcMar>
              <w:top w:w="80" w:type="dxa"/>
              <w:left w:w="100" w:type="dxa"/>
              <w:bottom w:w="80" w:type="dxa"/>
              <w:right w:w="100" w:type="dxa"/>
            </w:tcMar>
          </w:tcPr>
          <w:p w14:paraId="0B088920" w14:textId="7DE06222" w:rsidR="00F41243" w:rsidRDefault="00E84C00">
            <w:r>
              <w:rPr>
                <w:sz w:val="18"/>
                <w:szCs w:val="18"/>
              </w:rPr>
              <w:t xml:space="preserve">The model doesn't just look at skin type. It can pick up on things like acne severity, pigmentation from a medical condition, or early signs </w:t>
            </w:r>
            <w:r w:rsidR="00FB4EA1">
              <w:rPr>
                <w:sz w:val="18"/>
                <w:szCs w:val="18"/>
              </w:rPr>
              <w:t xml:space="preserve">of rosacea. DPDP does not create a separate legal category for health adjacent data the way GDPR </w:t>
            </w:r>
            <w:r w:rsidR="00DF5B15">
              <w:rPr>
                <w:sz w:val="18"/>
                <w:szCs w:val="18"/>
              </w:rPr>
              <w:t xml:space="preserve">does so this isn’t an elevated statutory risk but surfacing medically adjacent inferences that nobody classified or scoped at design stage is a real reputational and Section 8 accountability </w:t>
            </w:r>
            <w:r w:rsidR="009615A1">
              <w:rPr>
                <w:sz w:val="18"/>
                <w:szCs w:val="18"/>
              </w:rPr>
              <w:t xml:space="preserve"> risk </w:t>
            </w:r>
            <w:r w:rsidR="00DF5B15">
              <w:rPr>
                <w:sz w:val="18"/>
                <w:szCs w:val="18"/>
              </w:rPr>
              <w:t>,and user are unlikely</w:t>
            </w:r>
            <w:r w:rsidR="009615A1">
              <w:rPr>
                <w:sz w:val="18"/>
                <w:szCs w:val="18"/>
              </w:rPr>
              <w:t xml:space="preserve"> to expect it </w:t>
            </w:r>
            <w:r w:rsidR="00DF5B15">
              <w:rPr>
                <w:sz w:val="18"/>
                <w:szCs w:val="18"/>
              </w:rPr>
              <w:t xml:space="preserve"> </w:t>
            </w:r>
          </w:p>
        </w:tc>
        <w:tc>
          <w:tcPr>
            <w:tcW w:w="500" w:type="dxa"/>
            <w:tcMar>
              <w:top w:w="80" w:type="dxa"/>
              <w:left w:w="100" w:type="dxa"/>
              <w:bottom w:w="80" w:type="dxa"/>
              <w:right w:w="100" w:type="dxa"/>
            </w:tcMar>
          </w:tcPr>
          <w:p w14:paraId="61813A49" w14:textId="77777777" w:rsidR="00F41243" w:rsidRDefault="00E84C00">
            <w:r>
              <w:rPr>
                <w:sz w:val="18"/>
                <w:szCs w:val="18"/>
              </w:rPr>
              <w:t>3</w:t>
            </w:r>
          </w:p>
        </w:tc>
        <w:tc>
          <w:tcPr>
            <w:tcW w:w="500" w:type="dxa"/>
            <w:tcMar>
              <w:top w:w="80" w:type="dxa"/>
              <w:left w:w="100" w:type="dxa"/>
              <w:bottom w:w="80" w:type="dxa"/>
              <w:right w:w="100" w:type="dxa"/>
            </w:tcMar>
          </w:tcPr>
          <w:p w14:paraId="35A5DC0F" w14:textId="77777777" w:rsidR="00F41243" w:rsidRDefault="00E84C00">
            <w:r>
              <w:rPr>
                <w:sz w:val="18"/>
                <w:szCs w:val="18"/>
              </w:rPr>
              <w:t>4</w:t>
            </w:r>
          </w:p>
        </w:tc>
        <w:tc>
          <w:tcPr>
            <w:tcW w:w="700" w:type="dxa"/>
            <w:shd w:val="clear" w:color="auto" w:fill="FDE7B0"/>
            <w:tcMar>
              <w:top w:w="80" w:type="dxa"/>
              <w:left w:w="100" w:type="dxa"/>
              <w:bottom w:w="80" w:type="dxa"/>
              <w:right w:w="100" w:type="dxa"/>
            </w:tcMar>
          </w:tcPr>
          <w:p w14:paraId="36F8079D" w14:textId="77777777" w:rsidR="00F41243" w:rsidRDefault="00E84C00">
            <w:r>
              <w:rPr>
                <w:b/>
                <w:bCs/>
                <w:sz w:val="18"/>
                <w:szCs w:val="18"/>
              </w:rPr>
              <w:t>12</w:t>
            </w:r>
          </w:p>
        </w:tc>
        <w:tc>
          <w:tcPr>
            <w:tcW w:w="4020" w:type="dxa"/>
            <w:tcMar>
              <w:top w:w="80" w:type="dxa"/>
              <w:left w:w="100" w:type="dxa"/>
              <w:bottom w:w="80" w:type="dxa"/>
              <w:right w:w="100" w:type="dxa"/>
            </w:tcMar>
          </w:tcPr>
          <w:p w14:paraId="6448D58B" w14:textId="77777777" w:rsidR="00F41243" w:rsidRDefault="00E84C00">
            <w:r>
              <w:rPr>
                <w:sz w:val="18"/>
                <w:szCs w:val="18"/>
              </w:rPr>
              <w:t>Restrict the analysis output to skincare categories the product team actually needs (dry, oily, combination, a few concern tags). Don't store or surface anything that reads like a medical diagnosis, and don't let downstream marketing tools access the raw output.</w:t>
            </w:r>
          </w:p>
        </w:tc>
      </w:tr>
      <w:tr w:rsidR="00F41243" w14:paraId="4BA89C8C" w14:textId="77777777">
        <w:tblPrEx>
          <w:tblCellMar>
            <w:top w:w="0" w:type="dxa"/>
            <w:bottom w:w="0" w:type="dxa"/>
          </w:tblCellMar>
        </w:tblPrEx>
        <w:tc>
          <w:tcPr>
            <w:tcW w:w="400" w:type="dxa"/>
            <w:tcMar>
              <w:top w:w="80" w:type="dxa"/>
              <w:left w:w="100" w:type="dxa"/>
              <w:bottom w:w="80" w:type="dxa"/>
              <w:right w:w="100" w:type="dxa"/>
            </w:tcMar>
          </w:tcPr>
          <w:p w14:paraId="6762DC54" w14:textId="77777777" w:rsidR="00F41243" w:rsidRDefault="00E84C00">
            <w:r>
              <w:rPr>
                <w:sz w:val="18"/>
                <w:szCs w:val="18"/>
              </w:rPr>
              <w:t>5</w:t>
            </w:r>
          </w:p>
        </w:tc>
        <w:tc>
          <w:tcPr>
            <w:tcW w:w="3400" w:type="dxa"/>
            <w:tcMar>
              <w:top w:w="80" w:type="dxa"/>
              <w:left w:w="100" w:type="dxa"/>
              <w:bottom w:w="80" w:type="dxa"/>
              <w:right w:w="100" w:type="dxa"/>
            </w:tcMar>
          </w:tcPr>
          <w:p w14:paraId="56AB7A8D" w14:textId="77777777" w:rsidR="00F41243" w:rsidRDefault="00E84C00">
            <w:r>
              <w:rPr>
                <w:sz w:val="18"/>
                <w:szCs w:val="18"/>
              </w:rPr>
              <w:t>There's a real chance the images get pulled into a future model-training dataset, since 'improve our recommendation engine' is broad enough to justify almost anything.</w:t>
            </w:r>
          </w:p>
        </w:tc>
        <w:tc>
          <w:tcPr>
            <w:tcW w:w="500" w:type="dxa"/>
            <w:tcMar>
              <w:top w:w="80" w:type="dxa"/>
              <w:left w:w="100" w:type="dxa"/>
              <w:bottom w:w="80" w:type="dxa"/>
              <w:right w:w="100" w:type="dxa"/>
            </w:tcMar>
          </w:tcPr>
          <w:p w14:paraId="0B894C9E" w14:textId="77777777" w:rsidR="00F41243" w:rsidRDefault="00E84C00">
            <w:r>
              <w:rPr>
                <w:sz w:val="18"/>
                <w:szCs w:val="18"/>
              </w:rPr>
              <w:t>2</w:t>
            </w:r>
          </w:p>
        </w:tc>
        <w:tc>
          <w:tcPr>
            <w:tcW w:w="500" w:type="dxa"/>
            <w:tcMar>
              <w:top w:w="80" w:type="dxa"/>
              <w:left w:w="100" w:type="dxa"/>
              <w:bottom w:w="80" w:type="dxa"/>
              <w:right w:w="100" w:type="dxa"/>
            </w:tcMar>
          </w:tcPr>
          <w:p w14:paraId="2D4CF143" w14:textId="77777777" w:rsidR="00F41243" w:rsidRDefault="00E84C00">
            <w:r>
              <w:rPr>
                <w:sz w:val="18"/>
                <w:szCs w:val="18"/>
              </w:rPr>
              <w:t>4</w:t>
            </w:r>
          </w:p>
        </w:tc>
        <w:tc>
          <w:tcPr>
            <w:tcW w:w="700" w:type="dxa"/>
            <w:shd w:val="clear" w:color="auto" w:fill="FDE7B0"/>
            <w:tcMar>
              <w:top w:w="80" w:type="dxa"/>
              <w:left w:w="100" w:type="dxa"/>
              <w:bottom w:w="80" w:type="dxa"/>
              <w:right w:w="100" w:type="dxa"/>
            </w:tcMar>
          </w:tcPr>
          <w:p w14:paraId="7BD06317" w14:textId="77777777" w:rsidR="00F41243" w:rsidRDefault="00E84C00">
            <w:r>
              <w:rPr>
                <w:b/>
                <w:bCs/>
                <w:sz w:val="18"/>
                <w:szCs w:val="18"/>
              </w:rPr>
              <w:t>8</w:t>
            </w:r>
          </w:p>
        </w:tc>
        <w:tc>
          <w:tcPr>
            <w:tcW w:w="4020" w:type="dxa"/>
            <w:tcMar>
              <w:top w:w="80" w:type="dxa"/>
              <w:left w:w="100" w:type="dxa"/>
              <w:bottom w:w="80" w:type="dxa"/>
              <w:right w:w="100" w:type="dxa"/>
            </w:tcMar>
          </w:tcPr>
          <w:p w14:paraId="04765BB3" w14:textId="77777777" w:rsidR="00F41243" w:rsidRDefault="00E84C00">
            <w:r>
              <w:rPr>
                <w:sz w:val="18"/>
                <w:szCs w:val="18"/>
              </w:rPr>
              <w:t>Get separate, specific consent if photos will ever be used for model training, distinct from the consent given for the skin analysis itself. Default should be no training use unless the user opts in.</w:t>
            </w:r>
          </w:p>
        </w:tc>
      </w:tr>
      <w:tr w:rsidR="00F41243" w14:paraId="0FE1FAE9" w14:textId="77777777">
        <w:tblPrEx>
          <w:tblCellMar>
            <w:top w:w="0" w:type="dxa"/>
            <w:bottom w:w="0" w:type="dxa"/>
          </w:tblCellMar>
        </w:tblPrEx>
        <w:tc>
          <w:tcPr>
            <w:tcW w:w="400" w:type="dxa"/>
            <w:tcMar>
              <w:top w:w="80" w:type="dxa"/>
              <w:left w:w="100" w:type="dxa"/>
              <w:bottom w:w="80" w:type="dxa"/>
              <w:right w:w="100" w:type="dxa"/>
            </w:tcMar>
          </w:tcPr>
          <w:p w14:paraId="1E8A7B61" w14:textId="77777777" w:rsidR="00F41243" w:rsidRDefault="00E84C00">
            <w:r>
              <w:rPr>
                <w:sz w:val="18"/>
                <w:szCs w:val="18"/>
              </w:rPr>
              <w:t>6</w:t>
            </w:r>
          </w:p>
        </w:tc>
        <w:tc>
          <w:tcPr>
            <w:tcW w:w="3400" w:type="dxa"/>
            <w:tcMar>
              <w:top w:w="80" w:type="dxa"/>
              <w:left w:w="100" w:type="dxa"/>
              <w:bottom w:w="80" w:type="dxa"/>
              <w:right w:w="100" w:type="dxa"/>
            </w:tcMar>
          </w:tcPr>
          <w:p w14:paraId="41AC0DE2" w14:textId="77777777" w:rsidR="00F41243" w:rsidRDefault="00E84C00">
            <w:r>
              <w:rPr>
                <w:sz w:val="18"/>
                <w:szCs w:val="18"/>
              </w:rPr>
              <w:t>QA and support staff can currently view raw uploaded photos while investigating a user's complaint, with no logging of who accessed what.</w:t>
            </w:r>
          </w:p>
        </w:tc>
        <w:tc>
          <w:tcPr>
            <w:tcW w:w="500" w:type="dxa"/>
            <w:tcMar>
              <w:top w:w="80" w:type="dxa"/>
              <w:left w:w="100" w:type="dxa"/>
              <w:bottom w:w="80" w:type="dxa"/>
              <w:right w:w="100" w:type="dxa"/>
            </w:tcMar>
          </w:tcPr>
          <w:p w14:paraId="009D622F" w14:textId="77777777" w:rsidR="00F41243" w:rsidRDefault="00E84C00">
            <w:r>
              <w:rPr>
                <w:sz w:val="18"/>
                <w:szCs w:val="18"/>
              </w:rPr>
              <w:t>3</w:t>
            </w:r>
          </w:p>
        </w:tc>
        <w:tc>
          <w:tcPr>
            <w:tcW w:w="500" w:type="dxa"/>
            <w:tcMar>
              <w:top w:w="80" w:type="dxa"/>
              <w:left w:w="100" w:type="dxa"/>
              <w:bottom w:w="80" w:type="dxa"/>
              <w:right w:w="100" w:type="dxa"/>
            </w:tcMar>
          </w:tcPr>
          <w:p w14:paraId="30CC58B3" w14:textId="77777777" w:rsidR="00F41243" w:rsidRDefault="00E84C00">
            <w:r>
              <w:rPr>
                <w:sz w:val="18"/>
                <w:szCs w:val="18"/>
              </w:rPr>
              <w:t>3</w:t>
            </w:r>
          </w:p>
        </w:tc>
        <w:tc>
          <w:tcPr>
            <w:tcW w:w="700" w:type="dxa"/>
            <w:shd w:val="clear" w:color="auto" w:fill="FDE7B0"/>
            <w:tcMar>
              <w:top w:w="80" w:type="dxa"/>
              <w:left w:w="100" w:type="dxa"/>
              <w:bottom w:w="80" w:type="dxa"/>
              <w:right w:w="100" w:type="dxa"/>
            </w:tcMar>
          </w:tcPr>
          <w:p w14:paraId="2A73AAA3" w14:textId="77777777" w:rsidR="00F41243" w:rsidRDefault="00E84C00">
            <w:r>
              <w:rPr>
                <w:b/>
                <w:bCs/>
                <w:sz w:val="18"/>
                <w:szCs w:val="18"/>
              </w:rPr>
              <w:t>9</w:t>
            </w:r>
          </w:p>
        </w:tc>
        <w:tc>
          <w:tcPr>
            <w:tcW w:w="4020" w:type="dxa"/>
            <w:tcMar>
              <w:top w:w="80" w:type="dxa"/>
              <w:left w:w="100" w:type="dxa"/>
              <w:bottom w:w="80" w:type="dxa"/>
              <w:right w:w="100" w:type="dxa"/>
            </w:tcMar>
          </w:tcPr>
          <w:p w14:paraId="32660BDD" w14:textId="77777777" w:rsidR="00F41243" w:rsidRDefault="00E84C00">
            <w:r>
              <w:rPr>
                <w:sz w:val="18"/>
                <w:szCs w:val="18"/>
              </w:rPr>
              <w:t>Restrict raw image access to a small named group, log every access with a reason code, and default support tooling to show only the derived skin-type result, not the photo.</w:t>
            </w:r>
          </w:p>
        </w:tc>
      </w:tr>
      <w:tr w:rsidR="00F41243" w14:paraId="24A45B56" w14:textId="77777777">
        <w:tblPrEx>
          <w:tblCellMar>
            <w:top w:w="0" w:type="dxa"/>
            <w:bottom w:w="0" w:type="dxa"/>
          </w:tblCellMar>
        </w:tblPrEx>
        <w:tc>
          <w:tcPr>
            <w:tcW w:w="400" w:type="dxa"/>
            <w:tcMar>
              <w:top w:w="80" w:type="dxa"/>
              <w:left w:w="100" w:type="dxa"/>
              <w:bottom w:w="80" w:type="dxa"/>
              <w:right w:w="100" w:type="dxa"/>
            </w:tcMar>
          </w:tcPr>
          <w:p w14:paraId="6B6381C3" w14:textId="77777777" w:rsidR="00F41243" w:rsidRDefault="00E84C00">
            <w:r>
              <w:rPr>
                <w:sz w:val="18"/>
                <w:szCs w:val="18"/>
              </w:rPr>
              <w:t>7</w:t>
            </w:r>
          </w:p>
        </w:tc>
        <w:tc>
          <w:tcPr>
            <w:tcW w:w="3400" w:type="dxa"/>
            <w:tcMar>
              <w:top w:w="80" w:type="dxa"/>
              <w:left w:w="100" w:type="dxa"/>
              <w:bottom w:w="80" w:type="dxa"/>
              <w:right w:w="100" w:type="dxa"/>
            </w:tcMar>
          </w:tcPr>
          <w:p w14:paraId="6376187A" w14:textId="77777777" w:rsidR="00F41243" w:rsidRDefault="00E84C00">
            <w:r>
              <w:rPr>
                <w:sz w:val="18"/>
                <w:szCs w:val="18"/>
              </w:rPr>
              <w:t>If a user deletes their account, there's no confirmed process for making sure the vendor also deletes any copies still sitting on their side.</w:t>
            </w:r>
          </w:p>
        </w:tc>
        <w:tc>
          <w:tcPr>
            <w:tcW w:w="500" w:type="dxa"/>
            <w:tcMar>
              <w:top w:w="80" w:type="dxa"/>
              <w:left w:w="100" w:type="dxa"/>
              <w:bottom w:w="80" w:type="dxa"/>
              <w:right w:w="100" w:type="dxa"/>
            </w:tcMar>
          </w:tcPr>
          <w:p w14:paraId="4495E181" w14:textId="77777777" w:rsidR="00F41243" w:rsidRDefault="00E84C00">
            <w:r>
              <w:rPr>
                <w:sz w:val="18"/>
                <w:szCs w:val="18"/>
              </w:rPr>
              <w:t>3</w:t>
            </w:r>
          </w:p>
        </w:tc>
        <w:tc>
          <w:tcPr>
            <w:tcW w:w="500" w:type="dxa"/>
            <w:tcMar>
              <w:top w:w="80" w:type="dxa"/>
              <w:left w:w="100" w:type="dxa"/>
              <w:bottom w:w="80" w:type="dxa"/>
              <w:right w:w="100" w:type="dxa"/>
            </w:tcMar>
          </w:tcPr>
          <w:p w14:paraId="44F8DBE4" w14:textId="77777777" w:rsidR="00F41243" w:rsidRDefault="00E84C00">
            <w:r>
              <w:rPr>
                <w:sz w:val="18"/>
                <w:szCs w:val="18"/>
              </w:rPr>
              <w:t>3</w:t>
            </w:r>
          </w:p>
        </w:tc>
        <w:tc>
          <w:tcPr>
            <w:tcW w:w="700" w:type="dxa"/>
            <w:shd w:val="clear" w:color="auto" w:fill="FDE7B0"/>
            <w:tcMar>
              <w:top w:w="80" w:type="dxa"/>
              <w:left w:w="100" w:type="dxa"/>
              <w:bottom w:w="80" w:type="dxa"/>
              <w:right w:w="100" w:type="dxa"/>
            </w:tcMar>
          </w:tcPr>
          <w:p w14:paraId="1A18A55A" w14:textId="77777777" w:rsidR="00F41243" w:rsidRDefault="00E84C00">
            <w:r>
              <w:rPr>
                <w:b/>
                <w:bCs/>
                <w:sz w:val="18"/>
                <w:szCs w:val="18"/>
              </w:rPr>
              <w:t>9</w:t>
            </w:r>
          </w:p>
        </w:tc>
        <w:tc>
          <w:tcPr>
            <w:tcW w:w="4020" w:type="dxa"/>
            <w:tcMar>
              <w:top w:w="80" w:type="dxa"/>
              <w:left w:w="100" w:type="dxa"/>
              <w:bottom w:w="80" w:type="dxa"/>
              <w:right w:w="100" w:type="dxa"/>
            </w:tcMar>
          </w:tcPr>
          <w:p w14:paraId="3E8C3A46" w14:textId="77777777" w:rsidR="00F41243" w:rsidRDefault="00E84C00">
            <w:r>
              <w:rPr>
                <w:sz w:val="18"/>
                <w:szCs w:val="18"/>
              </w:rPr>
              <w:t>Add a deletion-confirmation clause to the vendor contract with a defined SLA (for example, 7 days), and get a periodic attestation rather than just trusting it happens.</w:t>
            </w:r>
          </w:p>
        </w:tc>
      </w:tr>
    </w:tbl>
    <w:p w14:paraId="5050A5CB" w14:textId="77777777" w:rsidR="00F41243" w:rsidRDefault="00E84C00">
      <w:pPr>
        <w:pStyle w:val="Heading1"/>
        <w:spacing w:before="300" w:after="150"/>
      </w:pPr>
      <w:r>
        <w:t>6. Residual Risk After Mitigation</w:t>
      </w:r>
    </w:p>
    <w:p w14:paraId="40F53563" w14:textId="7761EBDB" w:rsidR="00F41243" w:rsidRDefault="00E84C00">
      <w:pPr>
        <w:spacing w:after="140"/>
      </w:pPr>
      <w:r>
        <w:t xml:space="preserve">Once the mitigations above are in place </w:t>
      </w:r>
      <w:r>
        <w:t xml:space="preserve">especially default deletion of raw photos and the age gate </w:t>
      </w:r>
      <w:r>
        <w:t xml:space="preserve"> the two highest</w:t>
      </w:r>
      <w:r w:rsidR="00E93979">
        <w:t xml:space="preserve"> </w:t>
      </w:r>
      <w:r>
        <w:t>scoring risks (storage retention and the missing age gate) drop to low or low-medium. The cross-border transfer risk depends on getting the vendor contract updated, which hasn't happened yet, so it stays medium until that's confirmed in writing.</w:t>
      </w:r>
    </w:p>
    <w:p w14:paraId="1A0DEC3C" w14:textId="77777777" w:rsidR="00F41243" w:rsidRDefault="00E84C00">
      <w:pPr>
        <w:spacing w:after="140"/>
      </w:pPr>
      <w:r>
        <w:t>Overall residual risk: Medium, conditional on the vendor contract update and the default-delete change both shipping before launch, not after.</w:t>
      </w:r>
    </w:p>
    <w:p w14:paraId="232C8866" w14:textId="77777777" w:rsidR="00F41243" w:rsidRDefault="00E84C00">
      <w:pPr>
        <w:pStyle w:val="Heading1"/>
        <w:spacing w:before="300" w:after="150"/>
      </w:pPr>
      <w:r>
        <w:t>7. Recommendation</w:t>
      </w:r>
    </w:p>
    <w:p w14:paraId="7E797948" w14:textId="77777777" w:rsidR="00F41243" w:rsidRDefault="00E84C00">
      <w:pPr>
        <w:spacing w:after="140"/>
      </w:pPr>
      <w:r>
        <w:t>GlowScan can proceed, but not in its current form. Launch should be blocked on three things: photos deleted by default within 24 hours unless the user opts to save them, an age-confirmation step before the camera opens, and a signed vendor addendum covering deletion and no-training-use. Everything else in the mitigation column is worth doing but shouldn't hold up the launch date on its own.</w:t>
      </w:r>
    </w:p>
    <w:p w14:paraId="152EC342" w14:textId="77777777" w:rsidR="00F41243" w:rsidRDefault="00E84C00">
      <w:pPr>
        <w:spacing w:after="140"/>
      </w:pPr>
      <w:r>
        <w:t>This assessment should be revisited within six months of launch, or sooner if the vendor changes, if the feature starts storing new categories of data, or if GlowNest decides to use the images for model training.</w:t>
      </w:r>
    </w:p>
    <w:p w14:paraId="3E057772" w14:textId="77777777" w:rsidR="00F41243" w:rsidRDefault="00E84C00">
      <w:pPr>
        <w:pStyle w:val="Heading1"/>
        <w:spacing w:before="300" w:after="150"/>
      </w:pPr>
      <w:r>
        <w:t>8. Sign-off</w:t>
      </w:r>
    </w:p>
    <w:p w14:paraId="72C41A4A" w14:textId="5186211F" w:rsidR="00F41243" w:rsidRDefault="00E84C00">
      <w:pPr>
        <w:spacing w:after="140"/>
      </w:pPr>
      <w:r>
        <w:t xml:space="preserve">Prepared by: </w:t>
      </w:r>
      <w:r w:rsidR="00D454FF">
        <w:t>Meenu</w:t>
      </w:r>
      <w:r>
        <w:t xml:space="preserve"> Junior Privacy Analyst</w:t>
      </w:r>
    </w:p>
    <w:p w14:paraId="68318CD4" w14:textId="7CCC8AFD" w:rsidR="00F41243" w:rsidRDefault="00E84C00">
      <w:pPr>
        <w:spacing w:after="140"/>
      </w:pPr>
      <w:r>
        <w:t xml:space="preserve">Reviewed by: </w:t>
      </w:r>
      <w:r w:rsidR="00D454FF">
        <w:t xml:space="preserve">Not yet reviewed by a qualified DPO </w:t>
      </w:r>
      <w:r w:rsidR="00D820D9">
        <w:t xml:space="preserve"> recommended before this assessment is relied on operationally</w:t>
      </w:r>
    </w:p>
    <w:p w14:paraId="4FF49C46" w14:textId="51E483CE" w:rsidR="00F41243" w:rsidRDefault="00E84C00">
      <w:pPr>
        <w:spacing w:after="140"/>
      </w:pPr>
      <w:r>
        <w:t>Approved by:</w:t>
      </w:r>
      <w:r w:rsidR="00E40033">
        <w:t xml:space="preserve">Pending Product </w:t>
      </w:r>
      <w:r w:rsidR="00F16C6B">
        <w:t>/ E</w:t>
      </w:r>
      <w:r>
        <w:t xml:space="preserve">ngineering </w:t>
      </w:r>
      <w:r w:rsidR="00D820D9">
        <w:t xml:space="preserve">sign off  </w:t>
      </w:r>
      <w:r w:rsidR="00F239A8">
        <w:t xml:space="preserve">Glowscan should not launch until this section is complete </w:t>
      </w:r>
    </w:p>
    <w:p w14:paraId="761BFB8C" w14:textId="77777777" w:rsidR="00F41243" w:rsidRDefault="00E84C00">
      <w:pPr>
        <w:spacing w:after="140"/>
      </w:pPr>
      <w:r>
        <w:t>Next review date: 3 January 2027, or on trigger event described above.</w:t>
      </w:r>
    </w:p>
    <w:sectPr w:rsidR="00F412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73DF8"/>
    <w:multiLevelType w:val="hybridMultilevel"/>
    <w:tmpl w:val="FFFFFFFF"/>
    <w:lvl w:ilvl="0" w:tplc="2B861D1C">
      <w:start w:val="1"/>
      <w:numFmt w:val="bullet"/>
      <w:lvlText w:val="●"/>
      <w:lvlJc w:val="left"/>
      <w:pPr>
        <w:ind w:left="720" w:hanging="360"/>
      </w:pPr>
    </w:lvl>
    <w:lvl w:ilvl="1" w:tplc="375E63C6">
      <w:start w:val="1"/>
      <w:numFmt w:val="bullet"/>
      <w:lvlText w:val="○"/>
      <w:lvlJc w:val="left"/>
      <w:pPr>
        <w:ind w:left="1440" w:hanging="360"/>
      </w:pPr>
    </w:lvl>
    <w:lvl w:ilvl="2" w:tplc="06625594">
      <w:start w:val="1"/>
      <w:numFmt w:val="bullet"/>
      <w:lvlText w:val="■"/>
      <w:lvlJc w:val="left"/>
      <w:pPr>
        <w:ind w:left="2160" w:hanging="360"/>
      </w:pPr>
    </w:lvl>
    <w:lvl w:ilvl="3" w:tplc="7CB83F7E">
      <w:start w:val="1"/>
      <w:numFmt w:val="bullet"/>
      <w:lvlText w:val="●"/>
      <w:lvlJc w:val="left"/>
      <w:pPr>
        <w:ind w:left="2880" w:hanging="360"/>
      </w:pPr>
    </w:lvl>
    <w:lvl w:ilvl="4" w:tplc="4118B18E">
      <w:start w:val="1"/>
      <w:numFmt w:val="bullet"/>
      <w:lvlText w:val="○"/>
      <w:lvlJc w:val="left"/>
      <w:pPr>
        <w:ind w:left="3600" w:hanging="360"/>
      </w:pPr>
    </w:lvl>
    <w:lvl w:ilvl="5" w:tplc="37DEA958">
      <w:start w:val="1"/>
      <w:numFmt w:val="bullet"/>
      <w:lvlText w:val="■"/>
      <w:lvlJc w:val="left"/>
      <w:pPr>
        <w:ind w:left="4320" w:hanging="360"/>
      </w:pPr>
    </w:lvl>
    <w:lvl w:ilvl="6" w:tplc="1B0E5EAA">
      <w:start w:val="1"/>
      <w:numFmt w:val="bullet"/>
      <w:lvlText w:val="●"/>
      <w:lvlJc w:val="left"/>
      <w:pPr>
        <w:ind w:left="5040" w:hanging="360"/>
      </w:pPr>
    </w:lvl>
    <w:lvl w:ilvl="7" w:tplc="FFD899B0">
      <w:start w:val="1"/>
      <w:numFmt w:val="bullet"/>
      <w:lvlText w:val="●"/>
      <w:lvlJc w:val="left"/>
      <w:pPr>
        <w:ind w:left="5760" w:hanging="360"/>
      </w:pPr>
    </w:lvl>
    <w:lvl w:ilvl="8" w:tplc="6704600C">
      <w:start w:val="1"/>
      <w:numFmt w:val="bullet"/>
      <w:lvlText w:val="●"/>
      <w:lvlJc w:val="left"/>
      <w:pPr>
        <w:ind w:left="6480" w:hanging="360"/>
      </w:pPr>
    </w:lvl>
  </w:abstractNum>
  <w:num w:numId="1" w16cid:durableId="618101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243"/>
    <w:rsid w:val="005C6011"/>
    <w:rsid w:val="00693750"/>
    <w:rsid w:val="009615A1"/>
    <w:rsid w:val="009845D6"/>
    <w:rsid w:val="00AA76E5"/>
    <w:rsid w:val="00AD2EF5"/>
    <w:rsid w:val="00BB0232"/>
    <w:rsid w:val="00BE0C62"/>
    <w:rsid w:val="00C03647"/>
    <w:rsid w:val="00C31184"/>
    <w:rsid w:val="00D454FF"/>
    <w:rsid w:val="00D820D9"/>
    <w:rsid w:val="00DC074C"/>
    <w:rsid w:val="00DF5B15"/>
    <w:rsid w:val="00E40033"/>
    <w:rsid w:val="00E426BE"/>
    <w:rsid w:val="00E84C00"/>
    <w:rsid w:val="00E93979"/>
    <w:rsid w:val="00F16C6B"/>
    <w:rsid w:val="00F239A8"/>
    <w:rsid w:val="00F41243"/>
    <w:rsid w:val="00F56171"/>
    <w:rsid w:val="00F878CC"/>
    <w:rsid w:val="00FB4E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D66CE4"/>
  <w15:docId w15:val="{9CD68833-378D-0F4E-AD9D-AD5C45FD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Meenu A J</cp:lastModifiedBy>
  <cp:revision>2</cp:revision>
  <dcterms:created xsi:type="dcterms:W3CDTF">2026-07-08T15:59:00Z</dcterms:created>
  <dcterms:modified xsi:type="dcterms:W3CDTF">2026-07-08T15:59:00Z</dcterms:modified>
</cp:coreProperties>
</file>