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5538B" w14:textId="77777777" w:rsidR="006524AE" w:rsidRDefault="00B13BB0">
      <w:pPr>
        <w:spacing w:after="80"/>
      </w:pPr>
      <w:r>
        <w:rPr>
          <w:b/>
          <w:bCs/>
          <w:sz w:val="40"/>
          <w:szCs w:val="40"/>
        </w:rPr>
        <w:t>DPDP Act, 2023 Compliance Audit</w:t>
      </w:r>
    </w:p>
    <w:p w14:paraId="5C32E944" w14:textId="77777777" w:rsidR="006524AE" w:rsidRDefault="00B13BB0">
      <w:pPr>
        <w:spacing w:after="40"/>
      </w:pPr>
      <w:proofErr w:type="spellStart"/>
      <w:r>
        <w:rPr>
          <w:b/>
          <w:bCs/>
          <w:color w:val="555555"/>
          <w:sz w:val="28"/>
          <w:szCs w:val="28"/>
        </w:rPr>
        <w:t>GlowNest</w:t>
      </w:r>
      <w:proofErr w:type="spellEnd"/>
      <w:r>
        <w:rPr>
          <w:b/>
          <w:bCs/>
          <w:color w:val="555555"/>
          <w:sz w:val="28"/>
          <w:szCs w:val="28"/>
        </w:rPr>
        <w:t xml:space="preserve"> Privacy Policy — </w:t>
      </w:r>
      <w:proofErr w:type="spellStart"/>
      <w:r>
        <w:rPr>
          <w:b/>
          <w:bCs/>
          <w:color w:val="555555"/>
          <w:sz w:val="28"/>
          <w:szCs w:val="28"/>
        </w:rPr>
        <w:t>GlowNest</w:t>
      </w:r>
      <w:proofErr w:type="spellEnd"/>
      <w:r>
        <w:rPr>
          <w:b/>
          <w:bCs/>
          <w:color w:val="555555"/>
          <w:sz w:val="28"/>
          <w:szCs w:val="28"/>
        </w:rPr>
        <w:t xml:space="preserve"> E-Retail Private Limited (Simulated)</w:t>
      </w:r>
    </w:p>
    <w:p w14:paraId="282BB384" w14:textId="77777777" w:rsidR="006524AE" w:rsidRDefault="00B13BB0">
      <w:pPr>
        <w:spacing w:after="120"/>
      </w:pPr>
      <w:r>
        <w:rPr>
          <w:i/>
          <w:iCs/>
          <w:color w:val="666666"/>
          <w:sz w:val="18"/>
          <w:szCs w:val="18"/>
        </w:rPr>
        <w:t xml:space="preserve">Document audited: </w:t>
      </w:r>
      <w:proofErr w:type="spellStart"/>
      <w:r>
        <w:rPr>
          <w:i/>
          <w:iCs/>
          <w:color w:val="666666"/>
          <w:sz w:val="18"/>
          <w:szCs w:val="18"/>
        </w:rPr>
        <w:t>GlowNest_Privacy_Policy_Simulated.docx</w:t>
      </w:r>
      <w:proofErr w:type="spellEnd"/>
      <w:r>
        <w:rPr>
          <w:i/>
          <w:iCs/>
          <w:color w:val="666666"/>
          <w:sz w:val="18"/>
          <w:szCs w:val="18"/>
        </w:rPr>
        <w:t xml:space="preserve"> — Version 1.2, last updated 15 January 2026. </w:t>
      </w:r>
      <w:proofErr w:type="spellStart"/>
      <w:r>
        <w:rPr>
          <w:i/>
          <w:iCs/>
          <w:color w:val="666666"/>
          <w:sz w:val="18"/>
          <w:szCs w:val="18"/>
        </w:rPr>
        <w:t>GlowNest</w:t>
      </w:r>
      <w:proofErr w:type="spellEnd"/>
      <w:r>
        <w:rPr>
          <w:i/>
          <w:iCs/>
          <w:color w:val="666666"/>
          <w:sz w:val="18"/>
          <w:szCs w:val="18"/>
        </w:rPr>
        <w:t xml:space="preserve"> is a fictional D2C beauty e-commerce company created for this training/portfolio project; the policy language and gaps mirror patterns commonly seen in real Indian e-commerce privacy policies.</w:t>
      </w:r>
    </w:p>
    <w:p w14:paraId="2F929251" w14:textId="0EDE76C2" w:rsidR="006524AE" w:rsidRDefault="00B13BB0">
      <w:pPr>
        <w:spacing w:after="120"/>
      </w:pPr>
      <w:r>
        <w:rPr>
          <w:i/>
          <w:iCs/>
          <w:color w:val="666666"/>
          <w:sz w:val="18"/>
          <w:szCs w:val="18"/>
        </w:rPr>
        <w:t>Audit date: 3 July 2026. Independent, unofficial analysis prepared for educational and professional</w:t>
      </w:r>
      <w:r w:rsidR="00724F6A">
        <w:rPr>
          <w:i/>
          <w:iCs/>
          <w:color w:val="666666"/>
          <w:sz w:val="18"/>
          <w:szCs w:val="18"/>
        </w:rPr>
        <w:t xml:space="preserve"> </w:t>
      </w:r>
      <w:r>
        <w:rPr>
          <w:i/>
          <w:iCs/>
          <w:color w:val="666666"/>
          <w:sz w:val="18"/>
          <w:szCs w:val="18"/>
        </w:rPr>
        <w:t>portfolio purposes as part of the author's DPDP/CDPO practice work.</w:t>
      </w:r>
    </w:p>
    <w:p w14:paraId="2503EC38" w14:textId="520AB30B" w:rsidR="006524AE" w:rsidRDefault="00B13BB0">
      <w:pPr>
        <w:pBdr>
          <w:top w:val="single" w:sz="6" w:space="0" w:color="999999"/>
          <w:left w:val="single" w:sz="6" w:space="0" w:color="999999"/>
          <w:bottom w:val="single" w:sz="6" w:space="0" w:color="999999"/>
          <w:right w:val="single" w:sz="6" w:space="0" w:color="999999"/>
        </w:pBdr>
        <w:spacing w:before="100" w:after="200"/>
      </w:pPr>
      <w:r>
        <w:rPr>
          <w:b/>
          <w:bCs/>
          <w:sz w:val="19"/>
          <w:szCs w:val="19"/>
        </w:rPr>
        <w:t xml:space="preserve">Note: </w:t>
      </w:r>
      <w:proofErr w:type="spellStart"/>
      <w:r>
        <w:rPr>
          <w:i/>
          <w:iCs/>
          <w:sz w:val="19"/>
          <w:szCs w:val="19"/>
        </w:rPr>
        <w:t>GlowNest</w:t>
      </w:r>
      <w:proofErr w:type="spellEnd"/>
      <w:r>
        <w:rPr>
          <w:i/>
          <w:iCs/>
          <w:sz w:val="19"/>
          <w:szCs w:val="19"/>
        </w:rPr>
        <w:t xml:space="preserve"> E-Retail Private Limited is a fictional company created by the author for this training and portfolio project. The privacy notice audited here (see companion document) was also drafted by the author to reflect gaps commonly seen in real Indian e-commerce privacy policies, so that this audit could demonstrate a realistic DPDP Act, 2023 gap-analysis methodology end to end </w:t>
      </w:r>
      <w:r>
        <w:rPr>
          <w:i/>
          <w:iCs/>
          <w:sz w:val="19"/>
          <w:szCs w:val="19"/>
        </w:rPr>
        <w:t xml:space="preserve"> from a flawed notice, through a structured audit, to a compliant redraft. Findings and rule citations reflect the author's own interpretation of the DPDP Act and the DPDP Rules, 2025, and should be independently verified against the official Gazette text before being relied upon in any professional context.</w:t>
      </w:r>
    </w:p>
    <w:p w14:paraId="2289DC10" w14:textId="77777777" w:rsidR="006524AE" w:rsidRDefault="00B13BB0">
      <w:pPr>
        <w:pStyle w:val="Heading1"/>
        <w:spacing w:before="300" w:after="150"/>
      </w:pPr>
      <w:r>
        <w:t>Executive Summary</w:t>
      </w:r>
    </w:p>
    <w:p w14:paraId="66E8BADF" w14:textId="53EBA1E0" w:rsidR="00DF461C" w:rsidRDefault="00B13BB0">
      <w:pPr>
        <w:spacing w:after="120"/>
      </w:pPr>
      <w:r>
        <w:t xml:space="preserve">Objective: To assess </w:t>
      </w:r>
      <w:proofErr w:type="spellStart"/>
      <w:r>
        <w:t>GlowNest's</w:t>
      </w:r>
      <w:proofErr w:type="spellEnd"/>
      <w:r>
        <w:t xml:space="preserve"> publicly available Privacy Policy for alignment with the Digital Personal Data Protection Act, 2023 and the DPDP Rules, 2025, and to produce prioritised, actionable remediation guidance</w:t>
      </w:r>
    </w:p>
    <w:p w14:paraId="56DAC15A" w14:textId="1BFA1A09" w:rsidR="008E5458" w:rsidRDefault="008E5458">
      <w:pPr>
        <w:spacing w:after="120"/>
      </w:pPr>
      <w:r>
        <w:t xml:space="preserve">Significant Data Fiduciary (SDF) Status: </w:t>
      </w:r>
      <w:proofErr w:type="spellStart"/>
      <w:r>
        <w:t>GlowNest</w:t>
      </w:r>
      <w:proofErr w:type="spellEnd"/>
      <w:r>
        <w:t xml:space="preserve"> has not been designated a Significant Data Fiduciary under Section 10 of the DPDP Act, and this audit does not assume that designation. Several obligations referenced in this report (mandatory DPIA, Data Protection Officer appointment, independent data audit) apply only to SDFs; where relevant, findings below are flagged as “best practice, not yet a legal requirement” rather than presented as binding obligations </w:t>
      </w:r>
      <w:proofErr w:type="spellStart"/>
      <w:r>
        <w:t>GlowNest</w:t>
      </w:r>
      <w:proofErr w:type="spellEnd"/>
      <w:r>
        <w:t xml:space="preserve"> is currently failing.</w:t>
      </w:r>
    </w:p>
    <w:p w14:paraId="3B5D66BB" w14:textId="7A4A91D3" w:rsidR="006524AE" w:rsidRDefault="00B13BB0">
      <w:pPr>
        <w:spacing w:after="120"/>
      </w:pPr>
      <w:r>
        <w:t>Scope: The consumer</w:t>
      </w:r>
      <w:r w:rsidR="002755B0">
        <w:t xml:space="preserve"> </w:t>
      </w:r>
      <w:r>
        <w:t xml:space="preserve">facing Privacy Policy at </w:t>
      </w:r>
      <w:proofErr w:type="spellStart"/>
      <w:r w:rsidR="007E3C12">
        <w:t>Glownest_</w:t>
      </w:r>
      <w:r w:rsidR="0011269A">
        <w:t>Privacy</w:t>
      </w:r>
      <w:proofErr w:type="spellEnd"/>
      <w:r w:rsidR="0011269A">
        <w:t xml:space="preserve"> _Policy _Simulated </w:t>
      </w:r>
      <w:r>
        <w:t xml:space="preserve"> (Version 1.4, 29 Jan 2026) </w:t>
      </w:r>
      <w:r>
        <w:t xml:space="preserve"> text, structure, and stated commitments only. Out of scope: internal systems, vendor contracts, technical controls, and other </w:t>
      </w:r>
      <w:proofErr w:type="spellStart"/>
      <w:r>
        <w:t>GlowNest</w:t>
      </w:r>
      <w:proofErr w:type="spellEnd"/>
      <w:r>
        <w:t>-group entity policies (</w:t>
      </w:r>
      <w:proofErr w:type="spellStart"/>
      <w:r>
        <w:t>BrightCart</w:t>
      </w:r>
      <w:proofErr w:type="spellEnd"/>
      <w:r>
        <w:t xml:space="preserve"> Fashion, </w:t>
      </w:r>
      <w:proofErr w:type="spellStart"/>
      <w:r>
        <w:t>Nykd</w:t>
      </w:r>
      <w:proofErr w:type="spellEnd"/>
      <w:r>
        <w:t>), which were not accessible for this exercise.</w:t>
      </w:r>
    </w:p>
    <w:p w14:paraId="093AE502" w14:textId="34312D07" w:rsidR="006524AE" w:rsidRDefault="00B13BB0">
      <w:pPr>
        <w:spacing w:after="120"/>
      </w:pPr>
      <w:r>
        <w:t>Methodology: Clause</w:t>
      </w:r>
      <w:r w:rsidR="00DC26E3">
        <w:t xml:space="preserve"> </w:t>
      </w:r>
      <w:r>
        <w:t>by</w:t>
      </w:r>
      <w:r w:rsidR="00DC26E3">
        <w:t xml:space="preserve"> </w:t>
      </w:r>
      <w:r>
        <w:t>clause review against the DPDP Act's core obligations (notice, consent, security, breach notification, retention/erasure, children's data, Data Principal rights, cross-border transfer) and the corresponding DPDP Rules, 2025, benchmarked against the structure typically used in privacy gap assessments (e.g. ISO/IEC 27701 and NIST Privacy Framework-style control mapping, adapted to DPDP's specific obligations). Each clause was rated Red / Amber / Green / Grey (see Section 1) and, where non-compliant or partial</w:t>
      </w:r>
      <w:r>
        <w:t>, paired with a redraft and a remediation owner.</w:t>
      </w:r>
    </w:p>
    <w:p w14:paraId="337045BC" w14:textId="77777777" w:rsidR="006524AE" w:rsidRDefault="00B13BB0">
      <w:pPr>
        <w:spacing w:after="120"/>
      </w:pPr>
      <w:r>
        <w:t>Key Findings:</w:t>
      </w:r>
    </w:p>
    <w:p w14:paraId="75300620" w14:textId="77777777" w:rsidR="006524AE" w:rsidRDefault="00B13BB0">
      <w:pPr>
        <w:pStyle w:val="ListParagraph"/>
        <w:numPr>
          <w:ilvl w:val="0"/>
          <w:numId w:val="1"/>
        </w:numPr>
        <w:spacing w:after="80"/>
      </w:pPr>
      <w:r>
        <w:t>The policy is written in GDPR/IT-Act-era language and vocabulary ('Data Subject', 'Controller') rather than DPDP-native terms, suggesting it has not been substantively redrafted since the Act's 2023 passage.</w:t>
      </w:r>
    </w:p>
    <w:p w14:paraId="4E67E8BE" w14:textId="77777777" w:rsidR="006524AE" w:rsidRDefault="00B13BB0">
      <w:pPr>
        <w:pStyle w:val="ListParagraph"/>
        <w:numPr>
          <w:ilvl w:val="0"/>
          <w:numId w:val="1"/>
        </w:numPr>
        <w:spacing w:after="80"/>
      </w:pPr>
      <w:r>
        <w:t>Consent is captured implicitly through platform use rather than through a specific, affirmative, per-purpose action, which is the Act's core consent standard (Section 6).</w:t>
      </w:r>
    </w:p>
    <w:p w14:paraId="0358A941" w14:textId="77777777" w:rsidR="006524AE" w:rsidRDefault="00B13BB0">
      <w:pPr>
        <w:pStyle w:val="ListParagraph"/>
        <w:numPr>
          <w:ilvl w:val="0"/>
          <w:numId w:val="1"/>
        </w:numPr>
        <w:spacing w:after="80"/>
      </w:pPr>
      <w:r>
        <w:t>No breach-notification workflow, no defined retention periods, and no verifiable-consent mechanism for minors are described — the three gaps with the highest penalty exposure under the Act's Schedule (up to ₹250 crore).</w:t>
      </w:r>
    </w:p>
    <w:p w14:paraId="7B61C920" w14:textId="77777777" w:rsidR="006524AE" w:rsidRDefault="00B13BB0">
      <w:pPr>
        <w:pStyle w:val="ListParagraph"/>
        <w:numPr>
          <w:ilvl w:val="0"/>
          <w:numId w:val="1"/>
        </w:numPr>
        <w:spacing w:after="80"/>
      </w:pPr>
      <w:r>
        <w:t>Overall Risk Posture: High. 7 of 18 assessable items are Red and a further 6 are Amber; the highest-exposure gaps (breach notification, children's data, retention) all sit in the Red band.</w:t>
      </w:r>
    </w:p>
    <w:p w14:paraId="716DB866" w14:textId="77777777" w:rsidR="006524AE" w:rsidRDefault="00B13BB0">
      <w:pPr>
        <w:spacing w:after="120"/>
      </w:pPr>
      <w:r>
        <w:rPr>
          <w:i/>
          <w:iCs/>
        </w:rPr>
        <w:t xml:space="preserve">Limitations: This is a desk-based review of public-facing text only; it does not verify </w:t>
      </w:r>
      <w:proofErr w:type="spellStart"/>
      <w:r>
        <w:rPr>
          <w:i/>
          <w:iCs/>
        </w:rPr>
        <w:t>GlowNest's</w:t>
      </w:r>
      <w:proofErr w:type="spellEnd"/>
      <w:r>
        <w:rPr>
          <w:i/>
          <w:iCs/>
        </w:rPr>
        <w:t xml:space="preserve"> actual operational practices, which may exceed what the policy text discloses. Rule sub-clause numbering was cross-checked against secondary legal-commentary sources published after the 14 November 2025 notification, not the primary Gazette text — see Section 5 for the specific citations flagged for verification.</w:t>
      </w:r>
    </w:p>
    <w:p w14:paraId="194810ED" w14:textId="77777777" w:rsidR="006524AE" w:rsidRDefault="00B13BB0">
      <w:pPr>
        <w:pStyle w:val="Heading1"/>
        <w:spacing w:before="300" w:after="150"/>
      </w:pPr>
      <w:r>
        <w:t>1. Scoreboard</w:t>
      </w:r>
    </w:p>
    <w:p w14:paraId="7CBE0EEA" w14:textId="77777777" w:rsidR="006524AE" w:rsidRDefault="00B13BB0">
      <w:pPr>
        <w:spacing w:after="120"/>
      </w:pPr>
      <w:r>
        <w:t>21 items were assessed across notice, consent, security, breach response, retention, children's data, rights, and cross-border transfer. Weighted score = (Green×1.0 + Amber×0.5) ÷ (</w:t>
      </w:r>
      <w:proofErr w:type="spellStart"/>
      <w:r>
        <w:t>Red+Amber+Green</w:t>
      </w:r>
      <w:proofErr w:type="spellEnd"/>
      <w:r>
        <w:t>) — a simple points-based rubric adapted for this exercise; Grey items are excluded as not currently assessable.</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520"/>
      </w:tblGrid>
      <w:tr w:rsidR="006524AE" w14:paraId="16E888EE" w14:textId="77777777">
        <w:tblPrEx>
          <w:tblCellMar>
            <w:top w:w="0" w:type="dxa"/>
            <w:bottom w:w="0" w:type="dxa"/>
          </w:tblCellMar>
        </w:tblPrEx>
        <w:trPr>
          <w:tblHeader/>
        </w:trPr>
        <w:tc>
          <w:tcPr>
            <w:tcW w:w="2200" w:type="dxa"/>
            <w:shd w:val="clear" w:color="auto" w:fill="1F2937"/>
            <w:tcMar>
              <w:top w:w="80" w:type="dxa"/>
              <w:left w:w="100" w:type="dxa"/>
              <w:bottom w:w="80" w:type="dxa"/>
              <w:right w:w="100" w:type="dxa"/>
            </w:tcMar>
          </w:tcPr>
          <w:p w14:paraId="224F1767" w14:textId="77777777" w:rsidR="006524AE" w:rsidRDefault="00B13BB0">
            <w:r>
              <w:rPr>
                <w:b/>
                <w:bCs/>
                <w:sz w:val="18"/>
                <w:szCs w:val="18"/>
              </w:rPr>
              <w:t>Status</w:t>
            </w:r>
          </w:p>
        </w:tc>
        <w:tc>
          <w:tcPr>
            <w:tcW w:w="1400" w:type="dxa"/>
            <w:shd w:val="clear" w:color="auto" w:fill="1F2937"/>
            <w:tcMar>
              <w:top w:w="80" w:type="dxa"/>
              <w:left w:w="100" w:type="dxa"/>
              <w:bottom w:w="80" w:type="dxa"/>
              <w:right w:w="100" w:type="dxa"/>
            </w:tcMar>
          </w:tcPr>
          <w:p w14:paraId="4F418F94" w14:textId="77777777" w:rsidR="006524AE" w:rsidRDefault="00B13BB0">
            <w:r>
              <w:rPr>
                <w:b/>
                <w:bCs/>
                <w:sz w:val="18"/>
                <w:szCs w:val="18"/>
              </w:rPr>
              <w:t>Count</w:t>
            </w:r>
          </w:p>
        </w:tc>
        <w:tc>
          <w:tcPr>
            <w:tcW w:w="1400" w:type="dxa"/>
            <w:shd w:val="clear" w:color="auto" w:fill="1F2937"/>
            <w:tcMar>
              <w:top w:w="80" w:type="dxa"/>
              <w:left w:w="100" w:type="dxa"/>
              <w:bottom w:w="80" w:type="dxa"/>
              <w:right w:w="100" w:type="dxa"/>
            </w:tcMar>
          </w:tcPr>
          <w:p w14:paraId="212DED58" w14:textId="77777777" w:rsidR="006524AE" w:rsidRDefault="00B13BB0">
            <w:r>
              <w:rPr>
                <w:b/>
                <w:bCs/>
                <w:sz w:val="18"/>
                <w:szCs w:val="18"/>
              </w:rPr>
              <w:t>Weight</w:t>
            </w:r>
          </w:p>
        </w:tc>
        <w:tc>
          <w:tcPr>
            <w:tcW w:w="4520" w:type="dxa"/>
            <w:shd w:val="clear" w:color="auto" w:fill="1F2937"/>
            <w:tcMar>
              <w:top w:w="80" w:type="dxa"/>
              <w:left w:w="100" w:type="dxa"/>
              <w:bottom w:w="80" w:type="dxa"/>
              <w:right w:w="100" w:type="dxa"/>
            </w:tcMar>
          </w:tcPr>
          <w:p w14:paraId="79F714DE" w14:textId="77777777" w:rsidR="006524AE" w:rsidRDefault="00B13BB0">
            <w:r>
              <w:rPr>
                <w:b/>
                <w:bCs/>
                <w:sz w:val="18"/>
                <w:szCs w:val="18"/>
              </w:rPr>
              <w:t>Meaning</w:t>
            </w:r>
          </w:p>
        </w:tc>
      </w:tr>
      <w:tr w:rsidR="006524AE" w14:paraId="7DB501BA" w14:textId="77777777">
        <w:tblPrEx>
          <w:tblCellMar>
            <w:top w:w="0" w:type="dxa"/>
            <w:bottom w:w="0" w:type="dxa"/>
          </w:tblCellMar>
        </w:tblPrEx>
        <w:tc>
          <w:tcPr>
            <w:tcW w:w="2200" w:type="dxa"/>
            <w:shd w:val="clear" w:color="auto" w:fill="F8CBCB"/>
            <w:tcMar>
              <w:top w:w="80" w:type="dxa"/>
              <w:left w:w="100" w:type="dxa"/>
              <w:bottom w:w="80" w:type="dxa"/>
              <w:right w:w="100" w:type="dxa"/>
            </w:tcMar>
          </w:tcPr>
          <w:p w14:paraId="71D9C4BC" w14:textId="77777777" w:rsidR="006524AE" w:rsidRDefault="00B13BB0">
            <w:r>
              <w:rPr>
                <w:b/>
                <w:bCs/>
                <w:sz w:val="18"/>
                <w:szCs w:val="18"/>
              </w:rPr>
              <w:t>Red — Non-Compliant</w:t>
            </w:r>
          </w:p>
        </w:tc>
        <w:tc>
          <w:tcPr>
            <w:tcW w:w="1400" w:type="dxa"/>
            <w:shd w:val="clear" w:color="auto" w:fill="F8CBCB"/>
            <w:tcMar>
              <w:top w:w="80" w:type="dxa"/>
              <w:left w:w="100" w:type="dxa"/>
              <w:bottom w:w="80" w:type="dxa"/>
              <w:right w:w="100" w:type="dxa"/>
            </w:tcMar>
          </w:tcPr>
          <w:p w14:paraId="4A5D5BEE" w14:textId="77777777" w:rsidR="006524AE" w:rsidRDefault="00B13BB0">
            <w:pPr>
              <w:jc w:val="center"/>
            </w:pPr>
            <w:r>
              <w:rPr>
                <w:sz w:val="18"/>
                <w:szCs w:val="18"/>
              </w:rPr>
              <w:t>7</w:t>
            </w:r>
          </w:p>
        </w:tc>
        <w:tc>
          <w:tcPr>
            <w:tcW w:w="1400" w:type="dxa"/>
            <w:shd w:val="clear" w:color="auto" w:fill="F8CBCB"/>
            <w:tcMar>
              <w:top w:w="80" w:type="dxa"/>
              <w:left w:w="100" w:type="dxa"/>
              <w:bottom w:w="80" w:type="dxa"/>
              <w:right w:w="100" w:type="dxa"/>
            </w:tcMar>
          </w:tcPr>
          <w:p w14:paraId="7A9C880F" w14:textId="77777777" w:rsidR="006524AE" w:rsidRDefault="00B13BB0">
            <w:pPr>
              <w:jc w:val="center"/>
            </w:pPr>
            <w:r>
              <w:rPr>
                <w:sz w:val="18"/>
                <w:szCs w:val="18"/>
              </w:rPr>
              <w:t>0.0</w:t>
            </w:r>
          </w:p>
        </w:tc>
        <w:tc>
          <w:tcPr>
            <w:tcW w:w="4520" w:type="dxa"/>
            <w:shd w:val="clear" w:color="auto" w:fill="F8CBCB"/>
            <w:tcMar>
              <w:top w:w="80" w:type="dxa"/>
              <w:left w:w="100" w:type="dxa"/>
              <w:bottom w:w="80" w:type="dxa"/>
              <w:right w:w="100" w:type="dxa"/>
            </w:tcMar>
          </w:tcPr>
          <w:p w14:paraId="621C960B" w14:textId="77777777" w:rsidR="006524AE" w:rsidRDefault="00B13BB0">
            <w:r>
              <w:rPr>
                <w:sz w:val="18"/>
                <w:szCs w:val="18"/>
              </w:rPr>
              <w:t>Absent or actively wrong. Highest exposure.</w:t>
            </w:r>
          </w:p>
        </w:tc>
      </w:tr>
      <w:tr w:rsidR="006524AE" w14:paraId="3A8DB342" w14:textId="77777777">
        <w:tblPrEx>
          <w:tblCellMar>
            <w:top w:w="0" w:type="dxa"/>
            <w:bottom w:w="0" w:type="dxa"/>
          </w:tblCellMar>
        </w:tblPrEx>
        <w:tc>
          <w:tcPr>
            <w:tcW w:w="2200" w:type="dxa"/>
            <w:shd w:val="clear" w:color="auto" w:fill="FDE7B0"/>
            <w:tcMar>
              <w:top w:w="80" w:type="dxa"/>
              <w:left w:w="100" w:type="dxa"/>
              <w:bottom w:w="80" w:type="dxa"/>
              <w:right w:w="100" w:type="dxa"/>
            </w:tcMar>
          </w:tcPr>
          <w:p w14:paraId="241045B1" w14:textId="77777777" w:rsidR="006524AE" w:rsidRDefault="00B13BB0">
            <w:r>
              <w:rPr>
                <w:b/>
                <w:bCs/>
                <w:sz w:val="18"/>
                <w:szCs w:val="18"/>
              </w:rPr>
              <w:t>Amber — Partial</w:t>
            </w:r>
          </w:p>
        </w:tc>
        <w:tc>
          <w:tcPr>
            <w:tcW w:w="1400" w:type="dxa"/>
            <w:shd w:val="clear" w:color="auto" w:fill="FDE7B0"/>
            <w:tcMar>
              <w:top w:w="80" w:type="dxa"/>
              <w:left w:w="100" w:type="dxa"/>
              <w:bottom w:w="80" w:type="dxa"/>
              <w:right w:w="100" w:type="dxa"/>
            </w:tcMar>
          </w:tcPr>
          <w:p w14:paraId="1F4E5A37" w14:textId="77777777" w:rsidR="006524AE" w:rsidRDefault="00B13BB0">
            <w:pPr>
              <w:jc w:val="center"/>
            </w:pPr>
            <w:r>
              <w:rPr>
                <w:sz w:val="18"/>
                <w:szCs w:val="18"/>
              </w:rPr>
              <w:t>6</w:t>
            </w:r>
          </w:p>
        </w:tc>
        <w:tc>
          <w:tcPr>
            <w:tcW w:w="1400" w:type="dxa"/>
            <w:shd w:val="clear" w:color="auto" w:fill="FDE7B0"/>
            <w:tcMar>
              <w:top w:w="80" w:type="dxa"/>
              <w:left w:w="100" w:type="dxa"/>
              <w:bottom w:w="80" w:type="dxa"/>
              <w:right w:w="100" w:type="dxa"/>
            </w:tcMar>
          </w:tcPr>
          <w:p w14:paraId="1BE7AB54" w14:textId="77777777" w:rsidR="006524AE" w:rsidRDefault="00B13BB0">
            <w:pPr>
              <w:jc w:val="center"/>
            </w:pPr>
            <w:r>
              <w:rPr>
                <w:sz w:val="18"/>
                <w:szCs w:val="18"/>
              </w:rPr>
              <w:t>0.5</w:t>
            </w:r>
          </w:p>
        </w:tc>
        <w:tc>
          <w:tcPr>
            <w:tcW w:w="4520" w:type="dxa"/>
            <w:shd w:val="clear" w:color="auto" w:fill="FDE7B0"/>
            <w:tcMar>
              <w:top w:w="80" w:type="dxa"/>
              <w:left w:w="100" w:type="dxa"/>
              <w:bottom w:w="80" w:type="dxa"/>
              <w:right w:w="100" w:type="dxa"/>
            </w:tcMar>
          </w:tcPr>
          <w:p w14:paraId="21A46399" w14:textId="77777777" w:rsidR="006524AE" w:rsidRDefault="00B13BB0">
            <w:r>
              <w:rPr>
                <w:sz w:val="18"/>
                <w:szCs w:val="18"/>
              </w:rPr>
              <w:t>Present but vague, incomplete, or GDPR-</w:t>
            </w:r>
            <w:proofErr w:type="spellStart"/>
            <w:r>
              <w:rPr>
                <w:sz w:val="18"/>
                <w:szCs w:val="18"/>
              </w:rPr>
              <w:t>templated</w:t>
            </w:r>
            <w:proofErr w:type="spellEnd"/>
            <w:r>
              <w:rPr>
                <w:sz w:val="18"/>
                <w:szCs w:val="18"/>
              </w:rPr>
              <w:t>.</w:t>
            </w:r>
          </w:p>
        </w:tc>
      </w:tr>
      <w:tr w:rsidR="006524AE" w14:paraId="60527DCC" w14:textId="77777777">
        <w:tblPrEx>
          <w:tblCellMar>
            <w:top w:w="0" w:type="dxa"/>
            <w:bottom w:w="0" w:type="dxa"/>
          </w:tblCellMar>
        </w:tblPrEx>
        <w:tc>
          <w:tcPr>
            <w:tcW w:w="2200" w:type="dxa"/>
            <w:shd w:val="clear" w:color="auto" w:fill="C6E7C6"/>
            <w:tcMar>
              <w:top w:w="80" w:type="dxa"/>
              <w:left w:w="100" w:type="dxa"/>
              <w:bottom w:w="80" w:type="dxa"/>
              <w:right w:w="100" w:type="dxa"/>
            </w:tcMar>
          </w:tcPr>
          <w:p w14:paraId="6922BA2C" w14:textId="77777777" w:rsidR="006524AE" w:rsidRDefault="00B13BB0">
            <w:r>
              <w:rPr>
                <w:b/>
                <w:bCs/>
                <w:sz w:val="18"/>
                <w:szCs w:val="18"/>
              </w:rPr>
              <w:t>Green — Compliant</w:t>
            </w:r>
          </w:p>
        </w:tc>
        <w:tc>
          <w:tcPr>
            <w:tcW w:w="1400" w:type="dxa"/>
            <w:shd w:val="clear" w:color="auto" w:fill="C6E7C6"/>
            <w:tcMar>
              <w:top w:w="80" w:type="dxa"/>
              <w:left w:w="100" w:type="dxa"/>
              <w:bottom w:w="80" w:type="dxa"/>
              <w:right w:w="100" w:type="dxa"/>
            </w:tcMar>
          </w:tcPr>
          <w:p w14:paraId="744D29F6" w14:textId="77777777" w:rsidR="006524AE" w:rsidRDefault="00B13BB0">
            <w:pPr>
              <w:jc w:val="center"/>
            </w:pPr>
            <w:r>
              <w:rPr>
                <w:sz w:val="18"/>
                <w:szCs w:val="18"/>
              </w:rPr>
              <w:t>5</w:t>
            </w:r>
          </w:p>
        </w:tc>
        <w:tc>
          <w:tcPr>
            <w:tcW w:w="1400" w:type="dxa"/>
            <w:shd w:val="clear" w:color="auto" w:fill="C6E7C6"/>
            <w:tcMar>
              <w:top w:w="80" w:type="dxa"/>
              <w:left w:w="100" w:type="dxa"/>
              <w:bottom w:w="80" w:type="dxa"/>
              <w:right w:w="100" w:type="dxa"/>
            </w:tcMar>
          </w:tcPr>
          <w:p w14:paraId="4F4FA57F" w14:textId="77777777" w:rsidR="006524AE" w:rsidRDefault="00B13BB0">
            <w:pPr>
              <w:jc w:val="center"/>
            </w:pPr>
            <w:r>
              <w:rPr>
                <w:sz w:val="18"/>
                <w:szCs w:val="18"/>
              </w:rPr>
              <w:t>1.0</w:t>
            </w:r>
          </w:p>
        </w:tc>
        <w:tc>
          <w:tcPr>
            <w:tcW w:w="4520" w:type="dxa"/>
            <w:shd w:val="clear" w:color="auto" w:fill="C6E7C6"/>
            <w:tcMar>
              <w:top w:w="80" w:type="dxa"/>
              <w:left w:w="100" w:type="dxa"/>
              <w:bottom w:w="80" w:type="dxa"/>
              <w:right w:w="100" w:type="dxa"/>
            </w:tcMar>
          </w:tcPr>
          <w:p w14:paraId="3D8CDEF7" w14:textId="77777777" w:rsidR="006524AE" w:rsidRDefault="00B13BB0">
            <w:r>
              <w:rPr>
                <w:sz w:val="18"/>
                <w:szCs w:val="18"/>
              </w:rPr>
              <w:t>Acceptable as drafted.</w:t>
            </w:r>
          </w:p>
        </w:tc>
      </w:tr>
      <w:tr w:rsidR="006524AE" w14:paraId="5AD8DB5F" w14:textId="77777777">
        <w:tblPrEx>
          <w:tblCellMar>
            <w:top w:w="0" w:type="dxa"/>
            <w:bottom w:w="0" w:type="dxa"/>
          </w:tblCellMar>
        </w:tblPrEx>
        <w:tc>
          <w:tcPr>
            <w:tcW w:w="2200" w:type="dxa"/>
            <w:shd w:val="clear" w:color="auto" w:fill="E3E3E3"/>
            <w:tcMar>
              <w:top w:w="80" w:type="dxa"/>
              <w:left w:w="100" w:type="dxa"/>
              <w:bottom w:w="80" w:type="dxa"/>
              <w:right w:w="100" w:type="dxa"/>
            </w:tcMar>
          </w:tcPr>
          <w:p w14:paraId="57B0F3AB" w14:textId="77777777" w:rsidR="006524AE" w:rsidRDefault="00B13BB0">
            <w:r>
              <w:rPr>
                <w:b/>
                <w:bCs/>
                <w:sz w:val="18"/>
                <w:szCs w:val="18"/>
              </w:rPr>
              <w:t>Grey — N/A / Conditional</w:t>
            </w:r>
          </w:p>
        </w:tc>
        <w:tc>
          <w:tcPr>
            <w:tcW w:w="1400" w:type="dxa"/>
            <w:shd w:val="clear" w:color="auto" w:fill="E3E3E3"/>
            <w:tcMar>
              <w:top w:w="80" w:type="dxa"/>
              <w:left w:w="100" w:type="dxa"/>
              <w:bottom w:w="80" w:type="dxa"/>
              <w:right w:w="100" w:type="dxa"/>
            </w:tcMar>
          </w:tcPr>
          <w:p w14:paraId="3A80CAED" w14:textId="77777777" w:rsidR="006524AE" w:rsidRDefault="00B13BB0">
            <w:pPr>
              <w:jc w:val="center"/>
            </w:pPr>
            <w:r>
              <w:rPr>
                <w:sz w:val="18"/>
                <w:szCs w:val="18"/>
              </w:rPr>
              <w:t>3</w:t>
            </w:r>
          </w:p>
        </w:tc>
        <w:tc>
          <w:tcPr>
            <w:tcW w:w="1400" w:type="dxa"/>
            <w:shd w:val="clear" w:color="auto" w:fill="E3E3E3"/>
            <w:tcMar>
              <w:top w:w="80" w:type="dxa"/>
              <w:left w:w="100" w:type="dxa"/>
              <w:bottom w:w="80" w:type="dxa"/>
              <w:right w:w="100" w:type="dxa"/>
            </w:tcMar>
          </w:tcPr>
          <w:p w14:paraId="79F5BDD6" w14:textId="77777777" w:rsidR="006524AE" w:rsidRDefault="00B13BB0">
            <w:pPr>
              <w:jc w:val="center"/>
            </w:pPr>
            <w:r>
              <w:rPr>
                <w:sz w:val="18"/>
                <w:szCs w:val="18"/>
              </w:rPr>
              <w:t>—</w:t>
            </w:r>
          </w:p>
        </w:tc>
        <w:tc>
          <w:tcPr>
            <w:tcW w:w="4520" w:type="dxa"/>
            <w:shd w:val="clear" w:color="auto" w:fill="E3E3E3"/>
            <w:tcMar>
              <w:top w:w="80" w:type="dxa"/>
              <w:left w:w="100" w:type="dxa"/>
              <w:bottom w:w="80" w:type="dxa"/>
              <w:right w:w="100" w:type="dxa"/>
            </w:tcMar>
          </w:tcPr>
          <w:p w14:paraId="6380AF7B" w14:textId="77777777" w:rsidR="006524AE" w:rsidRDefault="00B13BB0">
            <w:r>
              <w:rPr>
                <w:sz w:val="18"/>
                <w:szCs w:val="18"/>
              </w:rPr>
              <w:t>Depends on SDF designation or a not-yet-enforceable Rule.</w:t>
            </w:r>
          </w:p>
        </w:tc>
      </w:tr>
    </w:tbl>
    <w:p w14:paraId="4C64B59C" w14:textId="77777777" w:rsidR="006524AE" w:rsidRDefault="00B13BB0">
      <w:pPr>
        <w:spacing w:before="200"/>
      </w:pPr>
      <w:r>
        <w:rPr>
          <w:b/>
          <w:bCs/>
        </w:rPr>
        <w:t xml:space="preserve">Weighted compliance score: </w:t>
      </w:r>
      <w:r>
        <w:rPr>
          <w:b/>
          <w:bCs/>
          <w:color w:val="B00020"/>
          <w:sz w:val="24"/>
          <w:szCs w:val="24"/>
        </w:rPr>
        <w:t>≈ 44% (8 / 18 weighted points)</w:t>
      </w:r>
    </w:p>
    <w:p w14:paraId="4E98034E" w14:textId="77777777" w:rsidR="006524AE" w:rsidRDefault="00B13BB0">
      <w:pPr>
        <w:spacing w:after="120"/>
      </w:pPr>
      <w:r>
        <w:rPr>
          <w:i/>
          <w:iCs/>
        </w:rPr>
        <w:t>Read as: fewer than half of assessable obligations are currently met at an acceptable standard. The policy reads as a pre-DPDP, IT-Act/GDPR-era template — not a document built around the Act.</w:t>
      </w:r>
    </w:p>
    <w:p w14:paraId="38C394D0" w14:textId="77777777" w:rsidR="006524AE" w:rsidRDefault="00B13BB0">
      <w:pPr>
        <w:pStyle w:val="Heading1"/>
        <w:spacing w:before="300" w:after="150"/>
      </w:pPr>
      <w:r>
        <w:t>2. Non-Compliance &amp; Partial-Compliance Table</w:t>
      </w:r>
    </w:p>
    <w:p w14:paraId="4230C25C" w14:textId="77777777" w:rsidR="006524AE" w:rsidRDefault="00B13BB0">
      <w:pPr>
        <w:spacing w:after="120"/>
      </w:pPr>
      <w:r>
        <w:t>Ordered as found in the policy. These are the author's independent observations, not confirmed legal findings. Rule numbers are flagged for verification against the official Gazette text in Section 5.</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700"/>
        <w:gridCol w:w="2400"/>
        <w:gridCol w:w="2400"/>
        <w:gridCol w:w="2620"/>
      </w:tblGrid>
      <w:tr w:rsidR="006524AE" w14:paraId="4B1ED4C9" w14:textId="77777777">
        <w:tblPrEx>
          <w:tblCellMar>
            <w:top w:w="0" w:type="dxa"/>
            <w:bottom w:w="0" w:type="dxa"/>
          </w:tblCellMar>
        </w:tblPrEx>
        <w:trPr>
          <w:tblHeader/>
        </w:trPr>
        <w:tc>
          <w:tcPr>
            <w:tcW w:w="400" w:type="dxa"/>
            <w:shd w:val="clear" w:color="auto" w:fill="1F2937"/>
            <w:tcMar>
              <w:top w:w="80" w:type="dxa"/>
              <w:left w:w="100" w:type="dxa"/>
              <w:bottom w:w="80" w:type="dxa"/>
              <w:right w:w="100" w:type="dxa"/>
            </w:tcMar>
          </w:tcPr>
          <w:p w14:paraId="639D123F" w14:textId="77777777" w:rsidR="006524AE" w:rsidRDefault="00B13BB0">
            <w:r>
              <w:rPr>
                <w:b/>
                <w:bCs/>
                <w:sz w:val="18"/>
                <w:szCs w:val="18"/>
              </w:rPr>
              <w:t>#</w:t>
            </w:r>
          </w:p>
        </w:tc>
        <w:tc>
          <w:tcPr>
            <w:tcW w:w="1700" w:type="dxa"/>
            <w:shd w:val="clear" w:color="auto" w:fill="1F2937"/>
            <w:tcMar>
              <w:top w:w="80" w:type="dxa"/>
              <w:left w:w="100" w:type="dxa"/>
              <w:bottom w:w="80" w:type="dxa"/>
              <w:right w:w="100" w:type="dxa"/>
            </w:tcMar>
          </w:tcPr>
          <w:p w14:paraId="1BD1D806" w14:textId="77777777" w:rsidR="006524AE" w:rsidRDefault="00B13BB0">
            <w:r>
              <w:rPr>
                <w:b/>
                <w:bCs/>
                <w:sz w:val="18"/>
                <w:szCs w:val="18"/>
              </w:rPr>
              <w:t>Section / DPDP Rule</w:t>
            </w:r>
          </w:p>
        </w:tc>
        <w:tc>
          <w:tcPr>
            <w:tcW w:w="2400" w:type="dxa"/>
            <w:shd w:val="clear" w:color="auto" w:fill="1F2937"/>
            <w:tcMar>
              <w:top w:w="80" w:type="dxa"/>
              <w:left w:w="100" w:type="dxa"/>
              <w:bottom w:w="80" w:type="dxa"/>
              <w:right w:w="100" w:type="dxa"/>
            </w:tcMar>
          </w:tcPr>
          <w:p w14:paraId="5C592F8D" w14:textId="77777777" w:rsidR="006524AE" w:rsidRDefault="00B13BB0">
            <w:r>
              <w:rPr>
                <w:b/>
                <w:bCs/>
                <w:sz w:val="18"/>
                <w:szCs w:val="18"/>
              </w:rPr>
              <w:t>Offending Wording / Gap</w:t>
            </w:r>
          </w:p>
        </w:tc>
        <w:tc>
          <w:tcPr>
            <w:tcW w:w="2400" w:type="dxa"/>
            <w:shd w:val="clear" w:color="auto" w:fill="1F2937"/>
            <w:tcMar>
              <w:top w:w="80" w:type="dxa"/>
              <w:left w:w="100" w:type="dxa"/>
              <w:bottom w:w="80" w:type="dxa"/>
              <w:right w:w="100" w:type="dxa"/>
            </w:tcMar>
          </w:tcPr>
          <w:p w14:paraId="6482181A" w14:textId="77777777" w:rsidR="006524AE" w:rsidRDefault="00B13BB0">
            <w:r>
              <w:rPr>
                <w:b/>
                <w:bCs/>
                <w:sz w:val="18"/>
                <w:szCs w:val="18"/>
              </w:rPr>
              <w:t>Why It May Not Align (Author's View)</w:t>
            </w:r>
          </w:p>
        </w:tc>
        <w:tc>
          <w:tcPr>
            <w:tcW w:w="2620" w:type="dxa"/>
            <w:shd w:val="clear" w:color="auto" w:fill="1F2937"/>
            <w:tcMar>
              <w:top w:w="80" w:type="dxa"/>
              <w:left w:w="100" w:type="dxa"/>
              <w:bottom w:w="80" w:type="dxa"/>
              <w:right w:w="100" w:type="dxa"/>
            </w:tcMar>
          </w:tcPr>
          <w:p w14:paraId="6DE37C27" w14:textId="77777777" w:rsidR="006524AE" w:rsidRDefault="00B13BB0">
            <w:r>
              <w:rPr>
                <w:b/>
                <w:bCs/>
                <w:sz w:val="18"/>
                <w:szCs w:val="18"/>
              </w:rPr>
              <w:t>DPDP-Compliant Alternative Wording</w:t>
            </w:r>
          </w:p>
        </w:tc>
      </w:tr>
      <w:tr w:rsidR="006524AE" w14:paraId="70CA7A58" w14:textId="77777777">
        <w:tblPrEx>
          <w:tblCellMar>
            <w:top w:w="0" w:type="dxa"/>
            <w:bottom w:w="0" w:type="dxa"/>
          </w:tblCellMar>
        </w:tblPrEx>
        <w:tc>
          <w:tcPr>
            <w:tcW w:w="400" w:type="dxa"/>
            <w:shd w:val="clear" w:color="auto" w:fill="F8CBCB"/>
            <w:tcMar>
              <w:top w:w="80" w:type="dxa"/>
              <w:left w:w="100" w:type="dxa"/>
              <w:bottom w:w="80" w:type="dxa"/>
              <w:right w:w="100" w:type="dxa"/>
            </w:tcMar>
          </w:tcPr>
          <w:p w14:paraId="78D5FD28" w14:textId="77777777" w:rsidR="006524AE" w:rsidRDefault="00B13BB0">
            <w:pPr>
              <w:jc w:val="center"/>
            </w:pPr>
            <w:r>
              <w:rPr>
                <w:sz w:val="18"/>
                <w:szCs w:val="18"/>
              </w:rPr>
              <w:t>1</w:t>
            </w:r>
          </w:p>
        </w:tc>
        <w:tc>
          <w:tcPr>
            <w:tcW w:w="1700" w:type="dxa"/>
            <w:shd w:val="clear" w:color="auto" w:fill="F8CBCB"/>
            <w:tcMar>
              <w:top w:w="80" w:type="dxa"/>
              <w:left w:w="100" w:type="dxa"/>
              <w:bottom w:w="80" w:type="dxa"/>
              <w:right w:w="100" w:type="dxa"/>
            </w:tcMar>
          </w:tcPr>
          <w:p w14:paraId="445DD514" w14:textId="77777777" w:rsidR="006524AE" w:rsidRDefault="00B13BB0">
            <w:pPr>
              <w:spacing w:after="40"/>
            </w:pPr>
            <w:r>
              <w:rPr>
                <w:sz w:val="18"/>
                <w:szCs w:val="18"/>
              </w:rPr>
              <w:t>RED</w:t>
            </w:r>
          </w:p>
          <w:p w14:paraId="5EC4292B" w14:textId="77777777" w:rsidR="006524AE" w:rsidRDefault="00B13BB0">
            <w:pPr>
              <w:spacing w:after="40"/>
            </w:pPr>
            <w:r>
              <w:rPr>
                <w:sz w:val="18"/>
                <w:szCs w:val="18"/>
              </w:rPr>
              <w:t>Definitions clause — cf. DPDP Act §2</w:t>
            </w:r>
          </w:p>
        </w:tc>
        <w:tc>
          <w:tcPr>
            <w:tcW w:w="2400" w:type="dxa"/>
            <w:shd w:val="clear" w:color="auto" w:fill="FFFFFF"/>
            <w:tcMar>
              <w:top w:w="80" w:type="dxa"/>
              <w:left w:w="100" w:type="dxa"/>
              <w:bottom w:w="80" w:type="dxa"/>
              <w:right w:w="100" w:type="dxa"/>
            </w:tcMar>
          </w:tcPr>
          <w:p w14:paraId="266C4CB6" w14:textId="77777777" w:rsidR="006524AE" w:rsidRDefault="00B13BB0">
            <w:r>
              <w:rPr>
                <w:sz w:val="17"/>
                <w:szCs w:val="17"/>
              </w:rPr>
              <w:t>Policy defines 'Personal Information', 'Data Subject', 'Controller', 'Processor' — GDPR vocabulary that does not exist in the DPDP Act.</w:t>
            </w:r>
          </w:p>
        </w:tc>
        <w:tc>
          <w:tcPr>
            <w:tcW w:w="2400" w:type="dxa"/>
            <w:shd w:val="clear" w:color="auto" w:fill="FFFFFF"/>
            <w:tcMar>
              <w:top w:w="80" w:type="dxa"/>
              <w:left w:w="100" w:type="dxa"/>
              <w:bottom w:w="80" w:type="dxa"/>
              <w:right w:w="100" w:type="dxa"/>
            </w:tcMar>
          </w:tcPr>
          <w:p w14:paraId="23C79FC9" w14:textId="77777777" w:rsidR="006524AE" w:rsidRDefault="00B13BB0">
            <w:r>
              <w:rPr>
                <w:sz w:val="17"/>
                <w:szCs w:val="17"/>
              </w:rPr>
              <w:t>The DPDP Act uses 'Personal Data', 'Data Principal', 'Data Fiduciary' and 'Data Processor'. Using GDPR terms signals the policy is a repurposed EU template, not a DPDP-native document — a red flag in any regulatory review or DPB inquiry.</w:t>
            </w:r>
          </w:p>
        </w:tc>
        <w:tc>
          <w:tcPr>
            <w:tcW w:w="2620" w:type="dxa"/>
            <w:shd w:val="clear" w:color="auto" w:fill="FFFFFF"/>
            <w:tcMar>
              <w:top w:w="80" w:type="dxa"/>
              <w:left w:w="100" w:type="dxa"/>
              <w:bottom w:w="80" w:type="dxa"/>
              <w:right w:w="100" w:type="dxa"/>
            </w:tcMar>
          </w:tcPr>
          <w:p w14:paraId="3C49A84E" w14:textId="77777777" w:rsidR="006524AE" w:rsidRDefault="00B13BB0">
            <w:r>
              <w:rPr>
                <w:sz w:val="17"/>
                <w:szCs w:val="17"/>
              </w:rPr>
              <w:t>"In this Policy, 'Personal Data', 'Data Principal', 'Data Fiduciary' and 'Data Processor' have the meanings assigned to them under the Digital Personal Data Protection Act, 2023 ('DPDP Act')."</w:t>
            </w:r>
          </w:p>
        </w:tc>
      </w:tr>
      <w:tr w:rsidR="006524AE" w14:paraId="2BB1408D" w14:textId="77777777">
        <w:tblPrEx>
          <w:tblCellMar>
            <w:top w:w="0" w:type="dxa"/>
            <w:bottom w:w="0" w:type="dxa"/>
          </w:tblCellMar>
        </w:tblPrEx>
        <w:tc>
          <w:tcPr>
            <w:tcW w:w="400" w:type="dxa"/>
            <w:shd w:val="clear" w:color="auto" w:fill="F8CBCB"/>
            <w:tcMar>
              <w:top w:w="80" w:type="dxa"/>
              <w:left w:w="100" w:type="dxa"/>
              <w:bottom w:w="80" w:type="dxa"/>
              <w:right w:w="100" w:type="dxa"/>
            </w:tcMar>
          </w:tcPr>
          <w:p w14:paraId="22C48326" w14:textId="77777777" w:rsidR="006524AE" w:rsidRDefault="00B13BB0">
            <w:pPr>
              <w:jc w:val="center"/>
            </w:pPr>
            <w:r>
              <w:rPr>
                <w:sz w:val="18"/>
                <w:szCs w:val="18"/>
              </w:rPr>
              <w:t>2</w:t>
            </w:r>
          </w:p>
        </w:tc>
        <w:tc>
          <w:tcPr>
            <w:tcW w:w="1700" w:type="dxa"/>
            <w:shd w:val="clear" w:color="auto" w:fill="F8CBCB"/>
            <w:tcMar>
              <w:top w:w="80" w:type="dxa"/>
              <w:left w:w="100" w:type="dxa"/>
              <w:bottom w:w="80" w:type="dxa"/>
              <w:right w:w="100" w:type="dxa"/>
            </w:tcMar>
          </w:tcPr>
          <w:p w14:paraId="67E801F9" w14:textId="77777777" w:rsidR="006524AE" w:rsidRDefault="00B13BB0">
            <w:pPr>
              <w:spacing w:after="40"/>
            </w:pPr>
            <w:r>
              <w:rPr>
                <w:sz w:val="18"/>
                <w:szCs w:val="18"/>
              </w:rPr>
              <w:t>RED</w:t>
            </w:r>
          </w:p>
          <w:p w14:paraId="4AA09E00" w14:textId="77777777" w:rsidR="006524AE" w:rsidRDefault="00B13BB0">
            <w:pPr>
              <w:spacing w:after="40"/>
            </w:pPr>
            <w:r>
              <w:rPr>
                <w:sz w:val="18"/>
                <w:szCs w:val="18"/>
              </w:rPr>
              <w:t>Consent clause — DPDP Act §6; Rule 3</w:t>
            </w:r>
          </w:p>
        </w:tc>
        <w:tc>
          <w:tcPr>
            <w:tcW w:w="2400" w:type="dxa"/>
            <w:shd w:val="clear" w:color="auto" w:fill="FFFFFF"/>
            <w:tcMar>
              <w:top w:w="80" w:type="dxa"/>
              <w:left w:w="100" w:type="dxa"/>
              <w:bottom w:w="80" w:type="dxa"/>
              <w:right w:w="100" w:type="dxa"/>
            </w:tcMar>
          </w:tcPr>
          <w:p w14:paraId="0EDA3919" w14:textId="77777777" w:rsidR="006524AE" w:rsidRDefault="00B13BB0">
            <w:r>
              <w:rPr>
                <w:sz w:val="17"/>
                <w:szCs w:val="17"/>
              </w:rPr>
              <w:t>"By using the Platform and/or by providing your information, you agree and consent to us collecting, storing, processing... your personal information." Consent is implied by mere usage.</w:t>
            </w:r>
          </w:p>
        </w:tc>
        <w:tc>
          <w:tcPr>
            <w:tcW w:w="2400" w:type="dxa"/>
            <w:shd w:val="clear" w:color="auto" w:fill="FFFFFF"/>
            <w:tcMar>
              <w:top w:w="80" w:type="dxa"/>
              <w:left w:w="100" w:type="dxa"/>
              <w:bottom w:w="80" w:type="dxa"/>
              <w:right w:w="100" w:type="dxa"/>
            </w:tcMar>
          </w:tcPr>
          <w:p w14:paraId="64CD386A" w14:textId="77777777" w:rsidR="006524AE" w:rsidRDefault="00B13BB0">
            <w:r>
              <w:rPr>
                <w:sz w:val="17"/>
                <w:szCs w:val="17"/>
              </w:rPr>
              <w:t>§6 requires consent to be free, specific, informed, unconditional and given through a clear affirmative act for each stated purpose. Bundling consent into 'use of the Platform' is deemed/</w:t>
            </w:r>
            <w:proofErr w:type="spellStart"/>
            <w:r>
              <w:rPr>
                <w:sz w:val="17"/>
                <w:szCs w:val="17"/>
              </w:rPr>
              <w:t>browsewrap</w:t>
            </w:r>
            <w:proofErr w:type="spellEnd"/>
            <w:r>
              <w:rPr>
                <w:sz w:val="17"/>
                <w:szCs w:val="17"/>
              </w:rPr>
              <w:t xml:space="preserve"> consent — not valid consent under DPDP.</w:t>
            </w:r>
          </w:p>
        </w:tc>
        <w:tc>
          <w:tcPr>
            <w:tcW w:w="2620" w:type="dxa"/>
            <w:shd w:val="clear" w:color="auto" w:fill="FFFFFF"/>
            <w:tcMar>
              <w:top w:w="80" w:type="dxa"/>
              <w:left w:w="100" w:type="dxa"/>
              <w:bottom w:w="80" w:type="dxa"/>
              <w:right w:w="100" w:type="dxa"/>
            </w:tcMar>
          </w:tcPr>
          <w:p w14:paraId="2FFA2D86" w14:textId="77777777" w:rsidR="006524AE" w:rsidRDefault="00B13BB0">
            <w:r>
              <w:rPr>
                <w:sz w:val="17"/>
                <w:szCs w:val="17"/>
              </w:rPr>
              <w:t>"We will ask for your consent through a clear affirmative action (e.g. a checkbox or toggle) before processing your Personal Data for each specified purpose set out in our Notice. You may decline consent for one purpose without affecting others where the good/service does not depend on it."</w:t>
            </w:r>
          </w:p>
        </w:tc>
      </w:tr>
      <w:tr w:rsidR="006524AE" w14:paraId="72A794AB" w14:textId="77777777">
        <w:tblPrEx>
          <w:tblCellMar>
            <w:top w:w="0" w:type="dxa"/>
            <w:bottom w:w="0" w:type="dxa"/>
          </w:tblCellMar>
        </w:tblPrEx>
        <w:tc>
          <w:tcPr>
            <w:tcW w:w="400" w:type="dxa"/>
            <w:shd w:val="clear" w:color="auto" w:fill="F8CBCB"/>
            <w:tcMar>
              <w:top w:w="80" w:type="dxa"/>
              <w:left w:w="100" w:type="dxa"/>
              <w:bottom w:w="80" w:type="dxa"/>
              <w:right w:w="100" w:type="dxa"/>
            </w:tcMar>
          </w:tcPr>
          <w:p w14:paraId="4A063704" w14:textId="77777777" w:rsidR="006524AE" w:rsidRDefault="00B13BB0">
            <w:pPr>
              <w:jc w:val="center"/>
            </w:pPr>
            <w:r>
              <w:rPr>
                <w:sz w:val="18"/>
                <w:szCs w:val="18"/>
              </w:rPr>
              <w:t>3</w:t>
            </w:r>
          </w:p>
        </w:tc>
        <w:tc>
          <w:tcPr>
            <w:tcW w:w="1700" w:type="dxa"/>
            <w:shd w:val="clear" w:color="auto" w:fill="F8CBCB"/>
            <w:tcMar>
              <w:top w:w="80" w:type="dxa"/>
              <w:left w:w="100" w:type="dxa"/>
              <w:bottom w:w="80" w:type="dxa"/>
              <w:right w:w="100" w:type="dxa"/>
            </w:tcMar>
          </w:tcPr>
          <w:p w14:paraId="6B796D77" w14:textId="77777777" w:rsidR="006524AE" w:rsidRDefault="00B13BB0">
            <w:pPr>
              <w:spacing w:after="40"/>
            </w:pPr>
            <w:r>
              <w:rPr>
                <w:sz w:val="18"/>
                <w:szCs w:val="18"/>
              </w:rPr>
              <w:t>RED</w:t>
            </w:r>
          </w:p>
          <w:p w14:paraId="2C696658" w14:textId="77777777" w:rsidR="006524AE" w:rsidRDefault="00B13BB0">
            <w:pPr>
              <w:spacing w:after="40"/>
            </w:pPr>
            <w:r>
              <w:rPr>
                <w:sz w:val="18"/>
                <w:szCs w:val="18"/>
              </w:rPr>
              <w:t>Consent withdrawal — DPDP Act §6(4); Rule 3(4)</w:t>
            </w:r>
          </w:p>
        </w:tc>
        <w:tc>
          <w:tcPr>
            <w:tcW w:w="2400" w:type="dxa"/>
            <w:shd w:val="clear" w:color="auto" w:fill="FFFFFF"/>
            <w:tcMar>
              <w:top w:w="80" w:type="dxa"/>
              <w:left w:w="100" w:type="dxa"/>
              <w:bottom w:w="80" w:type="dxa"/>
              <w:right w:w="100" w:type="dxa"/>
            </w:tcMar>
          </w:tcPr>
          <w:p w14:paraId="6287F809" w14:textId="77777777" w:rsidR="006524AE" w:rsidRDefault="00B13BB0">
            <w:r>
              <w:rPr>
                <w:sz w:val="17"/>
                <w:szCs w:val="17"/>
              </w:rPr>
              <w:t>No withdrawal mechanism is described anywhere in the policy.</w:t>
            </w:r>
          </w:p>
        </w:tc>
        <w:tc>
          <w:tcPr>
            <w:tcW w:w="2400" w:type="dxa"/>
            <w:shd w:val="clear" w:color="auto" w:fill="FFFFFF"/>
            <w:tcMar>
              <w:top w:w="80" w:type="dxa"/>
              <w:left w:w="100" w:type="dxa"/>
              <w:bottom w:w="80" w:type="dxa"/>
              <w:right w:w="100" w:type="dxa"/>
            </w:tcMar>
          </w:tcPr>
          <w:p w14:paraId="154368B5" w14:textId="77777777" w:rsidR="006524AE" w:rsidRDefault="00B13BB0">
            <w:r>
              <w:rPr>
                <w:sz w:val="17"/>
                <w:szCs w:val="17"/>
              </w:rPr>
              <w:t>§6(4) requires withdrawal to be as easy as giving consent, through an accessible, always-available mechanism, with consequences of withdrawal explained in advance.</w:t>
            </w:r>
          </w:p>
        </w:tc>
        <w:tc>
          <w:tcPr>
            <w:tcW w:w="2620" w:type="dxa"/>
            <w:shd w:val="clear" w:color="auto" w:fill="FFFFFF"/>
            <w:tcMar>
              <w:top w:w="80" w:type="dxa"/>
              <w:left w:w="100" w:type="dxa"/>
              <w:bottom w:w="80" w:type="dxa"/>
              <w:right w:w="100" w:type="dxa"/>
            </w:tcMar>
          </w:tcPr>
          <w:p w14:paraId="5614AFC2" w14:textId="77777777" w:rsidR="006524AE" w:rsidRDefault="00B13BB0">
            <w:r>
              <w:rPr>
                <w:sz w:val="17"/>
                <w:szCs w:val="17"/>
              </w:rPr>
              <w:t>"You may withdraw consent at any time via [Account &gt; Privacy Settings] or by writing to privacy@glownest.example.com. Withdrawal will not affect the lawfulness of processing before withdrawal, but may mean we can no longer provide services that depend on that data."</w:t>
            </w:r>
          </w:p>
        </w:tc>
      </w:tr>
      <w:tr w:rsidR="006524AE" w14:paraId="6C51640A" w14:textId="77777777">
        <w:tblPrEx>
          <w:tblCellMar>
            <w:top w:w="0" w:type="dxa"/>
            <w:bottom w:w="0" w:type="dxa"/>
          </w:tblCellMar>
        </w:tblPrEx>
        <w:tc>
          <w:tcPr>
            <w:tcW w:w="400" w:type="dxa"/>
            <w:shd w:val="clear" w:color="auto" w:fill="F8CBCB"/>
            <w:tcMar>
              <w:top w:w="80" w:type="dxa"/>
              <w:left w:w="100" w:type="dxa"/>
              <w:bottom w:w="80" w:type="dxa"/>
              <w:right w:w="100" w:type="dxa"/>
            </w:tcMar>
          </w:tcPr>
          <w:p w14:paraId="21FF533E" w14:textId="77777777" w:rsidR="006524AE" w:rsidRDefault="00B13BB0">
            <w:pPr>
              <w:jc w:val="center"/>
            </w:pPr>
            <w:r>
              <w:rPr>
                <w:sz w:val="18"/>
                <w:szCs w:val="18"/>
              </w:rPr>
              <w:t>4</w:t>
            </w:r>
          </w:p>
        </w:tc>
        <w:tc>
          <w:tcPr>
            <w:tcW w:w="1700" w:type="dxa"/>
            <w:shd w:val="clear" w:color="auto" w:fill="F8CBCB"/>
            <w:tcMar>
              <w:top w:w="80" w:type="dxa"/>
              <w:left w:w="100" w:type="dxa"/>
              <w:bottom w:w="80" w:type="dxa"/>
              <w:right w:w="100" w:type="dxa"/>
            </w:tcMar>
          </w:tcPr>
          <w:p w14:paraId="5B293362" w14:textId="77777777" w:rsidR="006524AE" w:rsidRDefault="00B13BB0">
            <w:pPr>
              <w:spacing w:after="40"/>
            </w:pPr>
            <w:r>
              <w:rPr>
                <w:sz w:val="18"/>
                <w:szCs w:val="18"/>
              </w:rPr>
              <w:t>RED</w:t>
            </w:r>
          </w:p>
          <w:p w14:paraId="56A529D7" w14:textId="77777777" w:rsidR="006524AE" w:rsidRDefault="00B13BB0">
            <w:pPr>
              <w:spacing w:after="40"/>
            </w:pPr>
            <w:r>
              <w:rPr>
                <w:sz w:val="18"/>
                <w:szCs w:val="18"/>
              </w:rPr>
              <w:t>Breach notification — DPDP Act §8(6); Rule 7</w:t>
            </w:r>
          </w:p>
        </w:tc>
        <w:tc>
          <w:tcPr>
            <w:tcW w:w="2400" w:type="dxa"/>
            <w:shd w:val="clear" w:color="auto" w:fill="FFFFFF"/>
            <w:tcMar>
              <w:top w:w="80" w:type="dxa"/>
              <w:left w:w="100" w:type="dxa"/>
              <w:bottom w:w="80" w:type="dxa"/>
              <w:right w:w="100" w:type="dxa"/>
            </w:tcMar>
          </w:tcPr>
          <w:p w14:paraId="194304E2" w14:textId="77777777" w:rsidR="006524AE" w:rsidRDefault="00B13BB0">
            <w:r>
              <w:rPr>
                <w:sz w:val="17"/>
                <w:szCs w:val="17"/>
              </w:rPr>
              <w:t>No breach notification workflow anywhere in the policy. "Data Security" section only describes preventive encryption measures.</w:t>
            </w:r>
          </w:p>
        </w:tc>
        <w:tc>
          <w:tcPr>
            <w:tcW w:w="2400" w:type="dxa"/>
            <w:shd w:val="clear" w:color="auto" w:fill="FFFFFF"/>
            <w:tcMar>
              <w:top w:w="80" w:type="dxa"/>
              <w:left w:w="100" w:type="dxa"/>
              <w:bottom w:w="80" w:type="dxa"/>
              <w:right w:w="100" w:type="dxa"/>
            </w:tcMar>
          </w:tcPr>
          <w:p w14:paraId="3B1F1B88" w14:textId="77777777" w:rsidR="006524AE" w:rsidRDefault="00B13BB0">
            <w:r>
              <w:rPr>
                <w:sz w:val="17"/>
                <w:szCs w:val="17"/>
              </w:rPr>
              <w:t>Rule 7 requires the Data Protection Board to be informed and affected Data Principals to be notified without undue delay, in plain language, describing the breach and protective steps — with a detailed report to the Board typically due within 72 hours. Silence on this is a material gap, not a stylistic one.</w:t>
            </w:r>
          </w:p>
        </w:tc>
        <w:tc>
          <w:tcPr>
            <w:tcW w:w="2620" w:type="dxa"/>
            <w:shd w:val="clear" w:color="auto" w:fill="FFFFFF"/>
            <w:tcMar>
              <w:top w:w="80" w:type="dxa"/>
              <w:left w:w="100" w:type="dxa"/>
              <w:bottom w:w="80" w:type="dxa"/>
              <w:right w:w="100" w:type="dxa"/>
            </w:tcMar>
          </w:tcPr>
          <w:p w14:paraId="33700A8C" w14:textId="77777777" w:rsidR="006524AE" w:rsidRDefault="00B13BB0">
            <w:r>
              <w:rPr>
                <w:sz w:val="17"/>
                <w:szCs w:val="17"/>
              </w:rPr>
              <w:t>"If a personal data breach occurs, we will notify the Data Protection Board of India and affected Data Principals without undue delay, describing the nature of the breach, data affected, likely consequences, and steps you can take, together with our contact point for further information."</w:t>
            </w:r>
          </w:p>
        </w:tc>
      </w:tr>
      <w:tr w:rsidR="006524AE" w14:paraId="2AE73825" w14:textId="77777777">
        <w:tblPrEx>
          <w:tblCellMar>
            <w:top w:w="0" w:type="dxa"/>
            <w:bottom w:w="0" w:type="dxa"/>
          </w:tblCellMar>
        </w:tblPrEx>
        <w:tc>
          <w:tcPr>
            <w:tcW w:w="400" w:type="dxa"/>
            <w:shd w:val="clear" w:color="auto" w:fill="F8CBCB"/>
            <w:tcMar>
              <w:top w:w="80" w:type="dxa"/>
              <w:left w:w="100" w:type="dxa"/>
              <w:bottom w:w="80" w:type="dxa"/>
              <w:right w:w="100" w:type="dxa"/>
            </w:tcMar>
          </w:tcPr>
          <w:p w14:paraId="0977C2E8" w14:textId="77777777" w:rsidR="006524AE" w:rsidRDefault="00B13BB0">
            <w:pPr>
              <w:jc w:val="center"/>
            </w:pPr>
            <w:r>
              <w:rPr>
                <w:sz w:val="18"/>
                <w:szCs w:val="18"/>
              </w:rPr>
              <w:t>5</w:t>
            </w:r>
          </w:p>
        </w:tc>
        <w:tc>
          <w:tcPr>
            <w:tcW w:w="1700" w:type="dxa"/>
            <w:shd w:val="clear" w:color="auto" w:fill="F8CBCB"/>
            <w:tcMar>
              <w:top w:w="80" w:type="dxa"/>
              <w:left w:w="100" w:type="dxa"/>
              <w:bottom w:w="80" w:type="dxa"/>
              <w:right w:w="100" w:type="dxa"/>
            </w:tcMar>
          </w:tcPr>
          <w:p w14:paraId="527CE7B7" w14:textId="77777777" w:rsidR="006524AE" w:rsidRDefault="00B13BB0">
            <w:pPr>
              <w:spacing w:after="40"/>
            </w:pPr>
            <w:r>
              <w:rPr>
                <w:sz w:val="18"/>
                <w:szCs w:val="18"/>
              </w:rPr>
              <w:t>RED</w:t>
            </w:r>
          </w:p>
          <w:p w14:paraId="1CD2427B" w14:textId="77777777" w:rsidR="006524AE" w:rsidRDefault="00B13BB0">
            <w:pPr>
              <w:spacing w:after="40"/>
            </w:pPr>
            <w:r>
              <w:rPr>
                <w:sz w:val="18"/>
                <w:szCs w:val="18"/>
              </w:rPr>
              <w:t>Children's data — DPDP Act §9; Rule 10</w:t>
            </w:r>
          </w:p>
        </w:tc>
        <w:tc>
          <w:tcPr>
            <w:tcW w:w="2400" w:type="dxa"/>
            <w:shd w:val="clear" w:color="auto" w:fill="FFFFFF"/>
            <w:tcMar>
              <w:top w:w="80" w:type="dxa"/>
              <w:left w:w="100" w:type="dxa"/>
              <w:bottom w:w="80" w:type="dxa"/>
              <w:right w:w="100" w:type="dxa"/>
            </w:tcMar>
          </w:tcPr>
          <w:p w14:paraId="494D2AD8" w14:textId="77777777" w:rsidR="006524AE" w:rsidRDefault="00B13BB0">
            <w:r>
              <w:rPr>
                <w:sz w:val="17"/>
                <w:szCs w:val="17"/>
              </w:rPr>
              <w:t>"Our platform is directed to be used by adults only... We or our associates do not knowingly collect information from minors." No age-verification or verifiable-parental-consent mechanism described.</w:t>
            </w:r>
          </w:p>
        </w:tc>
        <w:tc>
          <w:tcPr>
            <w:tcW w:w="2400" w:type="dxa"/>
            <w:shd w:val="clear" w:color="auto" w:fill="FFFFFF"/>
            <w:tcMar>
              <w:top w:w="80" w:type="dxa"/>
              <w:left w:w="100" w:type="dxa"/>
              <w:bottom w:w="80" w:type="dxa"/>
              <w:right w:w="100" w:type="dxa"/>
            </w:tcMar>
          </w:tcPr>
          <w:p w14:paraId="30718938" w14:textId="77777777" w:rsidR="006524AE" w:rsidRDefault="00B13BB0">
            <w:r>
              <w:rPr>
                <w:sz w:val="17"/>
                <w:szCs w:val="17"/>
              </w:rPr>
              <w:t>A disclaimer that the platform is 'for adults only' is not a compliance mechanism — it does not prevent minors from signing up, and DPDP §9/Rule 10 require verifiable parental/guardian consent wherever a Data Fiduciary has actual knowledge (or ought reasonably to know) a user is a child, plus a bar on tracking, behavioural monitoring and targeted advertising to children.</w:t>
            </w:r>
          </w:p>
        </w:tc>
        <w:tc>
          <w:tcPr>
            <w:tcW w:w="2620" w:type="dxa"/>
            <w:shd w:val="clear" w:color="auto" w:fill="FFFFFF"/>
            <w:tcMar>
              <w:top w:w="80" w:type="dxa"/>
              <w:left w:w="100" w:type="dxa"/>
              <w:bottom w:w="80" w:type="dxa"/>
              <w:right w:w="100" w:type="dxa"/>
            </w:tcMar>
          </w:tcPr>
          <w:p w14:paraId="0EAA00A3" w14:textId="77777777" w:rsidR="006524AE" w:rsidRDefault="00B13BB0">
            <w:r>
              <w:rPr>
                <w:sz w:val="17"/>
                <w:szCs w:val="17"/>
              </w:rPr>
              <w:t>"Where we become aware that a user is under 18, we will suspend targeted advertising, behavioural monitoring and profiling for that account and require verifiable consent from a parent or lawful guardian before any further processing, in line with Rule 10 of the DPDP Rules, 2025."</w:t>
            </w:r>
          </w:p>
        </w:tc>
      </w:tr>
      <w:tr w:rsidR="006524AE" w14:paraId="29A6E7DC" w14:textId="77777777">
        <w:tblPrEx>
          <w:tblCellMar>
            <w:top w:w="0" w:type="dxa"/>
            <w:bottom w:w="0" w:type="dxa"/>
          </w:tblCellMar>
        </w:tblPrEx>
        <w:tc>
          <w:tcPr>
            <w:tcW w:w="400" w:type="dxa"/>
            <w:shd w:val="clear" w:color="auto" w:fill="F8CBCB"/>
            <w:tcMar>
              <w:top w:w="80" w:type="dxa"/>
              <w:left w:w="100" w:type="dxa"/>
              <w:bottom w:w="80" w:type="dxa"/>
              <w:right w:w="100" w:type="dxa"/>
            </w:tcMar>
          </w:tcPr>
          <w:p w14:paraId="0361AF7F" w14:textId="77777777" w:rsidR="006524AE" w:rsidRDefault="00B13BB0">
            <w:pPr>
              <w:jc w:val="center"/>
            </w:pPr>
            <w:r>
              <w:rPr>
                <w:sz w:val="18"/>
                <w:szCs w:val="18"/>
              </w:rPr>
              <w:t>6</w:t>
            </w:r>
          </w:p>
        </w:tc>
        <w:tc>
          <w:tcPr>
            <w:tcW w:w="1700" w:type="dxa"/>
            <w:shd w:val="clear" w:color="auto" w:fill="F8CBCB"/>
            <w:tcMar>
              <w:top w:w="80" w:type="dxa"/>
              <w:left w:w="100" w:type="dxa"/>
              <w:bottom w:w="80" w:type="dxa"/>
              <w:right w:w="100" w:type="dxa"/>
            </w:tcMar>
          </w:tcPr>
          <w:p w14:paraId="55965CA0" w14:textId="77777777" w:rsidR="006524AE" w:rsidRDefault="00B13BB0">
            <w:pPr>
              <w:spacing w:after="40"/>
            </w:pPr>
            <w:r>
              <w:rPr>
                <w:sz w:val="18"/>
                <w:szCs w:val="18"/>
              </w:rPr>
              <w:t>RED</w:t>
            </w:r>
          </w:p>
          <w:p w14:paraId="046C3687" w14:textId="77777777" w:rsidR="006524AE" w:rsidRDefault="00B13BB0">
            <w:pPr>
              <w:spacing w:after="40"/>
            </w:pPr>
            <w:r>
              <w:rPr>
                <w:sz w:val="18"/>
                <w:szCs w:val="18"/>
              </w:rPr>
              <w:t>Data Principal rights — DPDP Act §§11-14; Rule 14</w:t>
            </w:r>
          </w:p>
        </w:tc>
        <w:tc>
          <w:tcPr>
            <w:tcW w:w="2400" w:type="dxa"/>
            <w:shd w:val="clear" w:color="auto" w:fill="FFFFFF"/>
            <w:tcMar>
              <w:top w:w="80" w:type="dxa"/>
              <w:left w:w="100" w:type="dxa"/>
              <w:bottom w:w="80" w:type="dxa"/>
              <w:right w:w="100" w:type="dxa"/>
            </w:tcMar>
          </w:tcPr>
          <w:p w14:paraId="467488B3" w14:textId="77777777" w:rsidR="006524AE" w:rsidRDefault="00B13BB0">
            <w:r>
              <w:rPr>
                <w:sz w:val="17"/>
                <w:szCs w:val="17"/>
              </w:rPr>
              <w:t>"These rights involve providing reasonable steps to allow you to access your Personal Information, correct any errors among others." No mention of the right to erasure specifics, the right to nominate a representative, or any response timelines.</w:t>
            </w:r>
          </w:p>
        </w:tc>
        <w:tc>
          <w:tcPr>
            <w:tcW w:w="2400" w:type="dxa"/>
            <w:shd w:val="clear" w:color="auto" w:fill="FFFFFF"/>
            <w:tcMar>
              <w:top w:w="80" w:type="dxa"/>
              <w:left w:w="100" w:type="dxa"/>
              <w:bottom w:w="80" w:type="dxa"/>
              <w:right w:w="100" w:type="dxa"/>
            </w:tcMar>
          </w:tcPr>
          <w:p w14:paraId="7FAD0295" w14:textId="77777777" w:rsidR="006524AE" w:rsidRDefault="00B13BB0">
            <w:r>
              <w:rPr>
                <w:sz w:val="17"/>
                <w:szCs w:val="17"/>
              </w:rPr>
              <w:t xml:space="preserve">The Act grants distinct, named rights — access to information (§11), correction and erasure (§12), grievance </w:t>
            </w:r>
            <w:proofErr w:type="spellStart"/>
            <w:r>
              <w:rPr>
                <w:sz w:val="17"/>
                <w:szCs w:val="17"/>
              </w:rPr>
              <w:t>redressal</w:t>
            </w:r>
            <w:proofErr w:type="spellEnd"/>
            <w:r>
              <w:rPr>
                <w:sz w:val="17"/>
                <w:szCs w:val="17"/>
              </w:rPr>
              <w:t xml:space="preserve"> (§13), and nomination of a representative in the event of death/incapacity (§14). A vague 'among others' catch-all does not tell a Data Principal what they can actually ask for, and gives no timeline for a response.</w:t>
            </w:r>
          </w:p>
        </w:tc>
        <w:tc>
          <w:tcPr>
            <w:tcW w:w="2620" w:type="dxa"/>
            <w:shd w:val="clear" w:color="auto" w:fill="FFFFFF"/>
            <w:tcMar>
              <w:top w:w="80" w:type="dxa"/>
              <w:left w:w="100" w:type="dxa"/>
              <w:bottom w:w="80" w:type="dxa"/>
              <w:right w:w="100" w:type="dxa"/>
            </w:tcMar>
          </w:tcPr>
          <w:p w14:paraId="2B48F9E1" w14:textId="77777777" w:rsidR="006524AE" w:rsidRDefault="00B13BB0">
            <w:r>
              <w:rPr>
                <w:sz w:val="17"/>
                <w:szCs w:val="17"/>
              </w:rPr>
              <w:t>"You have the right to: (</w:t>
            </w:r>
            <w:proofErr w:type="spellStart"/>
            <w:r>
              <w:rPr>
                <w:sz w:val="17"/>
                <w:szCs w:val="17"/>
              </w:rPr>
              <w:t>i</w:t>
            </w:r>
            <w:proofErr w:type="spellEnd"/>
            <w:r>
              <w:rPr>
                <w:sz w:val="17"/>
                <w:szCs w:val="17"/>
              </w:rPr>
              <w:t>) obtain a summary of your Personal Data and processing activities; (ii) correct, complete, or update your Personal Data; (iii) erase Personal Data that is no longer necessary; (iv) have your grievance addressed within [X] days; and (v) nominate another individual to exercise these rights on your behalf in the event of death or incapacity. Requests can be made at privacy@glownest.example.com and will be resolved within [X] days."</w:t>
            </w:r>
          </w:p>
        </w:tc>
      </w:tr>
      <w:tr w:rsidR="006524AE" w14:paraId="1150AD98" w14:textId="77777777">
        <w:tblPrEx>
          <w:tblCellMar>
            <w:top w:w="0" w:type="dxa"/>
            <w:bottom w:w="0" w:type="dxa"/>
          </w:tblCellMar>
        </w:tblPrEx>
        <w:tc>
          <w:tcPr>
            <w:tcW w:w="400" w:type="dxa"/>
            <w:shd w:val="clear" w:color="auto" w:fill="F8CBCB"/>
            <w:tcMar>
              <w:top w:w="80" w:type="dxa"/>
              <w:left w:w="100" w:type="dxa"/>
              <w:bottom w:w="80" w:type="dxa"/>
              <w:right w:w="100" w:type="dxa"/>
            </w:tcMar>
          </w:tcPr>
          <w:p w14:paraId="0319A277" w14:textId="77777777" w:rsidR="006524AE" w:rsidRDefault="00B13BB0">
            <w:pPr>
              <w:jc w:val="center"/>
            </w:pPr>
            <w:r>
              <w:rPr>
                <w:sz w:val="18"/>
                <w:szCs w:val="18"/>
              </w:rPr>
              <w:t>7</w:t>
            </w:r>
          </w:p>
        </w:tc>
        <w:tc>
          <w:tcPr>
            <w:tcW w:w="1700" w:type="dxa"/>
            <w:shd w:val="clear" w:color="auto" w:fill="F8CBCB"/>
            <w:tcMar>
              <w:top w:w="80" w:type="dxa"/>
              <w:left w:w="100" w:type="dxa"/>
              <w:bottom w:w="80" w:type="dxa"/>
              <w:right w:w="100" w:type="dxa"/>
            </w:tcMar>
          </w:tcPr>
          <w:p w14:paraId="097A63E9" w14:textId="77777777" w:rsidR="006524AE" w:rsidRDefault="00B13BB0">
            <w:pPr>
              <w:spacing w:after="40"/>
            </w:pPr>
            <w:r>
              <w:rPr>
                <w:sz w:val="18"/>
                <w:szCs w:val="18"/>
              </w:rPr>
              <w:t>RED</w:t>
            </w:r>
          </w:p>
          <w:p w14:paraId="3757895C" w14:textId="77777777" w:rsidR="006524AE" w:rsidRDefault="00B13BB0">
            <w:pPr>
              <w:spacing w:after="40"/>
            </w:pPr>
            <w:r>
              <w:rPr>
                <w:sz w:val="18"/>
                <w:szCs w:val="18"/>
              </w:rPr>
              <w:t>Retention &amp; erasure — DPDP Act §8(7); Rule 8, Third Schedule</w:t>
            </w:r>
          </w:p>
        </w:tc>
        <w:tc>
          <w:tcPr>
            <w:tcW w:w="2400" w:type="dxa"/>
            <w:shd w:val="clear" w:color="auto" w:fill="FFFFFF"/>
            <w:tcMar>
              <w:top w:w="80" w:type="dxa"/>
              <w:left w:w="100" w:type="dxa"/>
              <w:bottom w:w="80" w:type="dxa"/>
              <w:right w:w="100" w:type="dxa"/>
            </w:tcMar>
          </w:tcPr>
          <w:p w14:paraId="343D633B" w14:textId="77777777" w:rsidR="006524AE" w:rsidRDefault="00B13BB0">
            <w:r>
              <w:rPr>
                <w:sz w:val="17"/>
                <w:szCs w:val="17"/>
              </w:rPr>
              <w:t>"We keep the Personal Information... for as long as it is required for the purposes set out... and for legal or regulatory reasons." No defined retention periods or erasure triggers.</w:t>
            </w:r>
          </w:p>
        </w:tc>
        <w:tc>
          <w:tcPr>
            <w:tcW w:w="2400" w:type="dxa"/>
            <w:shd w:val="clear" w:color="auto" w:fill="FFFFFF"/>
            <w:tcMar>
              <w:top w:w="80" w:type="dxa"/>
              <w:left w:w="100" w:type="dxa"/>
              <w:bottom w:w="80" w:type="dxa"/>
              <w:right w:w="100" w:type="dxa"/>
            </w:tcMar>
          </w:tcPr>
          <w:p w14:paraId="3214B0AA" w14:textId="77777777" w:rsidR="006524AE" w:rsidRDefault="00B13BB0">
            <w:r>
              <w:rPr>
                <w:sz w:val="17"/>
                <w:szCs w:val="17"/>
              </w:rPr>
              <w:t>Rule 8 and the Third Schedule set default retention/erasure triggers by sector — e.g. large e-commerce entities are expected to erase data a fixed period after the Data Principal's last transaction or login unless a longer period is legally mandated. An open-ended 'as long as required' clause gives no verifiable commitment and is unlikely to survive a DPB inquiry.</w:t>
            </w:r>
          </w:p>
        </w:tc>
        <w:tc>
          <w:tcPr>
            <w:tcW w:w="2620" w:type="dxa"/>
            <w:shd w:val="clear" w:color="auto" w:fill="FFFFFF"/>
            <w:tcMar>
              <w:top w:w="80" w:type="dxa"/>
              <w:left w:w="100" w:type="dxa"/>
              <w:bottom w:w="80" w:type="dxa"/>
              <w:right w:w="100" w:type="dxa"/>
            </w:tcMar>
          </w:tcPr>
          <w:p w14:paraId="5ECA489E" w14:textId="77777777" w:rsidR="006524AE" w:rsidRDefault="00B13BB0">
            <w:r>
              <w:rPr>
                <w:sz w:val="17"/>
                <w:szCs w:val="17"/>
              </w:rPr>
              <w:t>"We retain your Personal Data for [X years] from your last transaction or login, whichever is later, unless a longer period is required by law. We will notify you before erasure where required, and you may request earlier erasure by withdrawing consent."</w:t>
            </w:r>
          </w:p>
        </w:tc>
      </w:tr>
      <w:tr w:rsidR="006524AE" w14:paraId="1BC9841B" w14:textId="77777777">
        <w:tblPrEx>
          <w:tblCellMar>
            <w:top w:w="0" w:type="dxa"/>
            <w:bottom w:w="0" w:type="dxa"/>
          </w:tblCellMar>
        </w:tblPrEx>
        <w:tc>
          <w:tcPr>
            <w:tcW w:w="400" w:type="dxa"/>
            <w:shd w:val="clear" w:color="auto" w:fill="FDE7B0"/>
            <w:tcMar>
              <w:top w:w="80" w:type="dxa"/>
              <w:left w:w="100" w:type="dxa"/>
              <w:bottom w:w="80" w:type="dxa"/>
              <w:right w:w="100" w:type="dxa"/>
            </w:tcMar>
          </w:tcPr>
          <w:p w14:paraId="5F204BAD" w14:textId="77777777" w:rsidR="006524AE" w:rsidRDefault="00B13BB0">
            <w:pPr>
              <w:jc w:val="center"/>
            </w:pPr>
            <w:r>
              <w:rPr>
                <w:sz w:val="18"/>
                <w:szCs w:val="18"/>
              </w:rPr>
              <w:t>8</w:t>
            </w:r>
          </w:p>
        </w:tc>
        <w:tc>
          <w:tcPr>
            <w:tcW w:w="1700" w:type="dxa"/>
            <w:shd w:val="clear" w:color="auto" w:fill="FDE7B0"/>
            <w:tcMar>
              <w:top w:w="80" w:type="dxa"/>
              <w:left w:w="100" w:type="dxa"/>
              <w:bottom w:w="80" w:type="dxa"/>
              <w:right w:w="100" w:type="dxa"/>
            </w:tcMar>
          </w:tcPr>
          <w:p w14:paraId="7504132C" w14:textId="77777777" w:rsidR="006524AE" w:rsidRDefault="00B13BB0">
            <w:pPr>
              <w:spacing w:after="40"/>
            </w:pPr>
            <w:r>
              <w:rPr>
                <w:sz w:val="18"/>
                <w:szCs w:val="18"/>
              </w:rPr>
              <w:t>AMBER</w:t>
            </w:r>
          </w:p>
          <w:p w14:paraId="38606B55" w14:textId="77777777" w:rsidR="006524AE" w:rsidRDefault="00B13BB0">
            <w:pPr>
              <w:spacing w:after="40"/>
            </w:pPr>
            <w:r>
              <w:rPr>
                <w:sz w:val="18"/>
                <w:szCs w:val="18"/>
              </w:rPr>
              <w:t>Standalone notice — Rule 3</w:t>
            </w:r>
          </w:p>
        </w:tc>
        <w:tc>
          <w:tcPr>
            <w:tcW w:w="2400" w:type="dxa"/>
            <w:shd w:val="clear" w:color="auto" w:fill="FFFFFF"/>
            <w:tcMar>
              <w:top w:w="80" w:type="dxa"/>
              <w:left w:w="100" w:type="dxa"/>
              <w:bottom w:w="80" w:type="dxa"/>
              <w:right w:w="100" w:type="dxa"/>
            </w:tcMar>
          </w:tcPr>
          <w:p w14:paraId="66026861" w14:textId="77777777" w:rsidR="006524AE" w:rsidRDefault="00B13BB0">
            <w:r>
              <w:rPr>
                <w:sz w:val="17"/>
                <w:szCs w:val="17"/>
              </w:rPr>
              <w:t xml:space="preserve">The Privacy Policy, Terms of Use, Shipping Policy, and Grievance </w:t>
            </w:r>
            <w:proofErr w:type="spellStart"/>
            <w:r>
              <w:rPr>
                <w:sz w:val="17"/>
                <w:szCs w:val="17"/>
              </w:rPr>
              <w:t>Redressal</w:t>
            </w:r>
            <w:proofErr w:type="spellEnd"/>
            <w:r>
              <w:rPr>
                <w:sz w:val="17"/>
                <w:szCs w:val="17"/>
              </w:rPr>
              <w:t xml:space="preserve"> Policy are referenced as one combined set of 'Policies', and the Privacy Policy itself opens with consent-to-be-bound language typical of a </w:t>
            </w:r>
            <w:proofErr w:type="spellStart"/>
            <w:r>
              <w:rPr>
                <w:sz w:val="17"/>
                <w:szCs w:val="17"/>
              </w:rPr>
              <w:t>ToS</w:t>
            </w:r>
            <w:proofErr w:type="spellEnd"/>
            <w:r>
              <w:rPr>
                <w:sz w:val="17"/>
                <w:szCs w:val="17"/>
              </w:rPr>
              <w:t>.</w:t>
            </w:r>
          </w:p>
        </w:tc>
        <w:tc>
          <w:tcPr>
            <w:tcW w:w="2400" w:type="dxa"/>
            <w:shd w:val="clear" w:color="auto" w:fill="FFFFFF"/>
            <w:tcMar>
              <w:top w:w="80" w:type="dxa"/>
              <w:left w:w="100" w:type="dxa"/>
              <w:bottom w:w="80" w:type="dxa"/>
              <w:right w:w="100" w:type="dxa"/>
            </w:tcMar>
          </w:tcPr>
          <w:p w14:paraId="056B3C8A" w14:textId="77777777" w:rsidR="006524AE" w:rsidRDefault="00B13BB0">
            <w:r>
              <w:rPr>
                <w:sz w:val="17"/>
                <w:szCs w:val="17"/>
              </w:rPr>
              <w:t>Rule 3 expects the Notice to be presented independently of the Terms of Service, itemising data categories and purposes so a Data Principal isn't required to parse a bundled legal document to find privacy-specific information.</w:t>
            </w:r>
          </w:p>
        </w:tc>
        <w:tc>
          <w:tcPr>
            <w:tcW w:w="2620" w:type="dxa"/>
            <w:shd w:val="clear" w:color="auto" w:fill="FFFFFF"/>
            <w:tcMar>
              <w:top w:w="80" w:type="dxa"/>
              <w:left w:w="100" w:type="dxa"/>
              <w:bottom w:w="80" w:type="dxa"/>
              <w:right w:w="100" w:type="dxa"/>
            </w:tcMar>
          </w:tcPr>
          <w:p w14:paraId="7DFE31CD" w14:textId="77777777" w:rsidR="006524AE" w:rsidRDefault="00B13BB0">
            <w:r>
              <w:rPr>
                <w:sz w:val="17"/>
                <w:szCs w:val="17"/>
              </w:rPr>
              <w:t>"This Notice is independent of our Terms of Use. It sets out, item by item, what Personal Data we collect, why, and how you can exercise your rights — see the table below." (Followed by an itemised data/purpose table.)</w:t>
            </w:r>
          </w:p>
        </w:tc>
      </w:tr>
      <w:tr w:rsidR="006524AE" w14:paraId="1AFEA051" w14:textId="77777777">
        <w:tblPrEx>
          <w:tblCellMar>
            <w:top w:w="0" w:type="dxa"/>
            <w:bottom w:w="0" w:type="dxa"/>
          </w:tblCellMar>
        </w:tblPrEx>
        <w:tc>
          <w:tcPr>
            <w:tcW w:w="400" w:type="dxa"/>
            <w:shd w:val="clear" w:color="auto" w:fill="FDE7B0"/>
            <w:tcMar>
              <w:top w:w="80" w:type="dxa"/>
              <w:left w:w="100" w:type="dxa"/>
              <w:bottom w:w="80" w:type="dxa"/>
              <w:right w:w="100" w:type="dxa"/>
            </w:tcMar>
          </w:tcPr>
          <w:p w14:paraId="1CDDB23D" w14:textId="77777777" w:rsidR="006524AE" w:rsidRDefault="00B13BB0">
            <w:pPr>
              <w:jc w:val="center"/>
            </w:pPr>
            <w:r>
              <w:rPr>
                <w:sz w:val="18"/>
                <w:szCs w:val="18"/>
              </w:rPr>
              <w:t>9</w:t>
            </w:r>
          </w:p>
        </w:tc>
        <w:tc>
          <w:tcPr>
            <w:tcW w:w="1700" w:type="dxa"/>
            <w:shd w:val="clear" w:color="auto" w:fill="FDE7B0"/>
            <w:tcMar>
              <w:top w:w="80" w:type="dxa"/>
              <w:left w:w="100" w:type="dxa"/>
              <w:bottom w:w="80" w:type="dxa"/>
              <w:right w:w="100" w:type="dxa"/>
            </w:tcMar>
          </w:tcPr>
          <w:p w14:paraId="000B8B02" w14:textId="77777777" w:rsidR="006524AE" w:rsidRDefault="00B13BB0">
            <w:pPr>
              <w:spacing w:after="40"/>
            </w:pPr>
            <w:r>
              <w:rPr>
                <w:sz w:val="18"/>
                <w:szCs w:val="18"/>
              </w:rPr>
              <w:t>AMBER</w:t>
            </w:r>
          </w:p>
          <w:p w14:paraId="55E06BB8" w14:textId="77777777" w:rsidR="006524AE" w:rsidRDefault="00B13BB0">
            <w:pPr>
              <w:spacing w:after="40"/>
            </w:pPr>
            <w:r>
              <w:rPr>
                <w:sz w:val="18"/>
                <w:szCs w:val="18"/>
              </w:rPr>
              <w:t>Legacy 'sensitive personal information' language — IT Rules 2011 vs DPDP Act</w:t>
            </w:r>
          </w:p>
        </w:tc>
        <w:tc>
          <w:tcPr>
            <w:tcW w:w="2400" w:type="dxa"/>
            <w:shd w:val="clear" w:color="auto" w:fill="FFFFFF"/>
            <w:tcMar>
              <w:top w:w="80" w:type="dxa"/>
              <w:left w:w="100" w:type="dxa"/>
              <w:bottom w:w="80" w:type="dxa"/>
              <w:right w:w="100" w:type="dxa"/>
            </w:tcMar>
          </w:tcPr>
          <w:p w14:paraId="1D916131" w14:textId="77777777" w:rsidR="006524AE" w:rsidRDefault="00B13BB0">
            <w:r>
              <w:rPr>
                <w:sz w:val="17"/>
                <w:szCs w:val="17"/>
              </w:rPr>
              <w:t>"...personal information (including sensitive personal information as per applicable law)..."</w:t>
            </w:r>
          </w:p>
        </w:tc>
        <w:tc>
          <w:tcPr>
            <w:tcW w:w="2400" w:type="dxa"/>
            <w:shd w:val="clear" w:color="auto" w:fill="FFFFFF"/>
            <w:tcMar>
              <w:top w:w="80" w:type="dxa"/>
              <w:left w:w="100" w:type="dxa"/>
              <w:bottom w:w="80" w:type="dxa"/>
              <w:right w:w="100" w:type="dxa"/>
            </w:tcMar>
          </w:tcPr>
          <w:p w14:paraId="6D4A52C4" w14:textId="77777777" w:rsidR="006524AE" w:rsidRDefault="00B13BB0">
            <w:r>
              <w:rPr>
                <w:sz w:val="17"/>
                <w:szCs w:val="17"/>
              </w:rPr>
              <w:t>The DPDP Act does not carve out a separate 'sensitive personal data' category the way the old IT Act SPDI Rules, 2011 did. Retaining SPDI language signals the clause was copied from the pre-DPDP regime and not updated.</w:t>
            </w:r>
          </w:p>
        </w:tc>
        <w:tc>
          <w:tcPr>
            <w:tcW w:w="2620" w:type="dxa"/>
            <w:shd w:val="clear" w:color="auto" w:fill="FFFFFF"/>
            <w:tcMar>
              <w:top w:w="80" w:type="dxa"/>
              <w:left w:w="100" w:type="dxa"/>
              <w:bottom w:w="80" w:type="dxa"/>
              <w:right w:w="100" w:type="dxa"/>
            </w:tcMar>
          </w:tcPr>
          <w:p w14:paraId="57560B5C" w14:textId="77777777" w:rsidR="006524AE" w:rsidRDefault="00B13BB0">
            <w:r>
              <w:rPr>
                <w:sz w:val="17"/>
                <w:szCs w:val="17"/>
              </w:rPr>
              <w:t>"...your Personal Data, as defined under the Digital Personal Data Protection Act, 2023..." (drop the SPDI carve-out, or explicitly state it is retained only for the parallel IT Act/CERT-In obligations that still apply.)</w:t>
            </w:r>
          </w:p>
        </w:tc>
      </w:tr>
      <w:tr w:rsidR="006524AE" w14:paraId="61CE99E6" w14:textId="77777777">
        <w:tblPrEx>
          <w:tblCellMar>
            <w:top w:w="0" w:type="dxa"/>
            <w:bottom w:w="0" w:type="dxa"/>
          </w:tblCellMar>
        </w:tblPrEx>
        <w:tc>
          <w:tcPr>
            <w:tcW w:w="400" w:type="dxa"/>
            <w:shd w:val="clear" w:color="auto" w:fill="FDE7B0"/>
            <w:tcMar>
              <w:top w:w="80" w:type="dxa"/>
              <w:left w:w="100" w:type="dxa"/>
              <w:bottom w:w="80" w:type="dxa"/>
              <w:right w:w="100" w:type="dxa"/>
            </w:tcMar>
          </w:tcPr>
          <w:p w14:paraId="3558F960" w14:textId="77777777" w:rsidR="006524AE" w:rsidRDefault="00B13BB0">
            <w:pPr>
              <w:jc w:val="center"/>
            </w:pPr>
            <w:r>
              <w:rPr>
                <w:sz w:val="18"/>
                <w:szCs w:val="18"/>
              </w:rPr>
              <w:t>10</w:t>
            </w:r>
          </w:p>
        </w:tc>
        <w:tc>
          <w:tcPr>
            <w:tcW w:w="1700" w:type="dxa"/>
            <w:shd w:val="clear" w:color="auto" w:fill="FDE7B0"/>
            <w:tcMar>
              <w:top w:w="80" w:type="dxa"/>
              <w:left w:w="100" w:type="dxa"/>
              <w:bottom w:w="80" w:type="dxa"/>
              <w:right w:w="100" w:type="dxa"/>
            </w:tcMar>
          </w:tcPr>
          <w:p w14:paraId="3163A953" w14:textId="77777777" w:rsidR="006524AE" w:rsidRDefault="00B13BB0">
            <w:pPr>
              <w:spacing w:after="40"/>
            </w:pPr>
            <w:r>
              <w:rPr>
                <w:sz w:val="18"/>
                <w:szCs w:val="18"/>
              </w:rPr>
              <w:t>AMBER</w:t>
            </w:r>
          </w:p>
          <w:p w14:paraId="576399A3" w14:textId="77777777" w:rsidR="006524AE" w:rsidRDefault="00B13BB0">
            <w:pPr>
              <w:spacing w:after="40"/>
            </w:pPr>
            <w:r>
              <w:rPr>
                <w:sz w:val="18"/>
                <w:szCs w:val="18"/>
              </w:rPr>
              <w:t>Cross-border transfer — DPDP Act §16; Rule 15</w:t>
            </w:r>
          </w:p>
        </w:tc>
        <w:tc>
          <w:tcPr>
            <w:tcW w:w="2400" w:type="dxa"/>
            <w:shd w:val="clear" w:color="auto" w:fill="FFFFFF"/>
            <w:tcMar>
              <w:top w:w="80" w:type="dxa"/>
              <w:left w:w="100" w:type="dxa"/>
              <w:bottom w:w="80" w:type="dxa"/>
              <w:right w:w="100" w:type="dxa"/>
            </w:tcMar>
          </w:tcPr>
          <w:p w14:paraId="2309DCCE" w14:textId="77777777" w:rsidR="006524AE" w:rsidRDefault="00B13BB0">
            <w:r>
              <w:rPr>
                <w:sz w:val="17"/>
                <w:szCs w:val="17"/>
              </w:rPr>
              <w:t xml:space="preserve">"Personal Information... may be transferred to other countries... we will use best </w:t>
            </w:r>
            <w:proofErr w:type="spellStart"/>
            <w:r>
              <w:rPr>
                <w:sz w:val="17"/>
                <w:szCs w:val="17"/>
              </w:rPr>
              <w:t>endeavors</w:t>
            </w:r>
            <w:proofErr w:type="spellEnd"/>
            <w:r>
              <w:rPr>
                <w:sz w:val="17"/>
                <w:szCs w:val="17"/>
              </w:rPr>
              <w:t xml:space="preserve"> to put in place appropriate controls..."</w:t>
            </w:r>
          </w:p>
        </w:tc>
        <w:tc>
          <w:tcPr>
            <w:tcW w:w="2400" w:type="dxa"/>
            <w:shd w:val="clear" w:color="auto" w:fill="FFFFFF"/>
            <w:tcMar>
              <w:top w:w="80" w:type="dxa"/>
              <w:left w:w="100" w:type="dxa"/>
              <w:bottom w:w="80" w:type="dxa"/>
              <w:right w:w="100" w:type="dxa"/>
            </w:tcMar>
          </w:tcPr>
          <w:p w14:paraId="4C689577" w14:textId="77777777" w:rsidR="006524AE" w:rsidRDefault="00B13BB0">
            <w:r>
              <w:rPr>
                <w:sz w:val="17"/>
                <w:szCs w:val="17"/>
              </w:rPr>
              <w:t>Rule 15 conditions cross-border transfer on government-specified country lists/conditions, not on a fiduciary's unilateral 'best endeavours'. The clause doesn't commit to complying with whatever restricted-country list the Government notifies.</w:t>
            </w:r>
          </w:p>
        </w:tc>
        <w:tc>
          <w:tcPr>
            <w:tcW w:w="2620" w:type="dxa"/>
            <w:shd w:val="clear" w:color="auto" w:fill="FFFFFF"/>
            <w:tcMar>
              <w:top w:w="80" w:type="dxa"/>
              <w:left w:w="100" w:type="dxa"/>
              <w:bottom w:w="80" w:type="dxa"/>
              <w:right w:w="100" w:type="dxa"/>
            </w:tcMar>
          </w:tcPr>
          <w:p w14:paraId="633ACCC5" w14:textId="77777777" w:rsidR="006524AE" w:rsidRDefault="00B13BB0">
            <w:r>
              <w:rPr>
                <w:sz w:val="17"/>
                <w:szCs w:val="17"/>
              </w:rPr>
              <w:t>"We may transfer Personal Data outside India only to countries not restricted by the Central Government under Section 16 of the DPDP Act, and subject to any conditions the Government specifies for such transfers."</w:t>
            </w:r>
          </w:p>
        </w:tc>
      </w:tr>
      <w:tr w:rsidR="006524AE" w14:paraId="4D2DA0EB" w14:textId="77777777">
        <w:tblPrEx>
          <w:tblCellMar>
            <w:top w:w="0" w:type="dxa"/>
            <w:bottom w:w="0" w:type="dxa"/>
          </w:tblCellMar>
        </w:tblPrEx>
        <w:tc>
          <w:tcPr>
            <w:tcW w:w="400" w:type="dxa"/>
            <w:shd w:val="clear" w:color="auto" w:fill="FDE7B0"/>
            <w:tcMar>
              <w:top w:w="80" w:type="dxa"/>
              <w:left w:w="100" w:type="dxa"/>
              <w:bottom w:w="80" w:type="dxa"/>
              <w:right w:w="100" w:type="dxa"/>
            </w:tcMar>
          </w:tcPr>
          <w:p w14:paraId="4DF301D1" w14:textId="77777777" w:rsidR="006524AE" w:rsidRDefault="00B13BB0">
            <w:pPr>
              <w:jc w:val="center"/>
            </w:pPr>
            <w:r>
              <w:rPr>
                <w:sz w:val="18"/>
                <w:szCs w:val="18"/>
              </w:rPr>
              <w:t>11</w:t>
            </w:r>
          </w:p>
        </w:tc>
        <w:tc>
          <w:tcPr>
            <w:tcW w:w="1700" w:type="dxa"/>
            <w:shd w:val="clear" w:color="auto" w:fill="FDE7B0"/>
            <w:tcMar>
              <w:top w:w="80" w:type="dxa"/>
              <w:left w:w="100" w:type="dxa"/>
              <w:bottom w:w="80" w:type="dxa"/>
              <w:right w:w="100" w:type="dxa"/>
            </w:tcMar>
          </w:tcPr>
          <w:p w14:paraId="7E999307" w14:textId="77777777" w:rsidR="006524AE" w:rsidRDefault="00B13BB0">
            <w:pPr>
              <w:spacing w:after="40"/>
            </w:pPr>
            <w:r>
              <w:rPr>
                <w:sz w:val="18"/>
                <w:szCs w:val="18"/>
              </w:rPr>
              <w:t>AMBER</w:t>
            </w:r>
          </w:p>
          <w:p w14:paraId="64AA6728" w14:textId="77777777" w:rsidR="006524AE" w:rsidRDefault="00B13BB0">
            <w:pPr>
              <w:spacing w:after="40"/>
            </w:pPr>
            <w:r>
              <w:rPr>
                <w:sz w:val="18"/>
                <w:szCs w:val="18"/>
              </w:rPr>
              <w:t>Processor contracts — DPDP Act §8(2); Rule 12</w:t>
            </w:r>
          </w:p>
        </w:tc>
        <w:tc>
          <w:tcPr>
            <w:tcW w:w="2400" w:type="dxa"/>
            <w:shd w:val="clear" w:color="auto" w:fill="FFFFFF"/>
            <w:tcMar>
              <w:top w:w="80" w:type="dxa"/>
              <w:left w:w="100" w:type="dxa"/>
              <w:bottom w:w="80" w:type="dxa"/>
              <w:right w:w="100" w:type="dxa"/>
            </w:tcMar>
          </w:tcPr>
          <w:p w14:paraId="78444DDB" w14:textId="77777777" w:rsidR="006524AE" w:rsidRDefault="00B13BB0">
            <w:r>
              <w:rPr>
                <w:sz w:val="17"/>
                <w:szCs w:val="17"/>
              </w:rPr>
              <w:t>"We have put in place appropriate contracts and personal data protection obligations on the third-parties engaged by us..." — no detail on required security-safeguard terms.</w:t>
            </w:r>
          </w:p>
        </w:tc>
        <w:tc>
          <w:tcPr>
            <w:tcW w:w="2400" w:type="dxa"/>
            <w:shd w:val="clear" w:color="auto" w:fill="FFFFFF"/>
            <w:tcMar>
              <w:top w:w="80" w:type="dxa"/>
              <w:left w:w="100" w:type="dxa"/>
              <w:bottom w:w="80" w:type="dxa"/>
              <w:right w:w="100" w:type="dxa"/>
            </w:tcMar>
          </w:tcPr>
          <w:p w14:paraId="6F6BD313" w14:textId="77777777" w:rsidR="006524AE" w:rsidRDefault="00B13BB0">
            <w:r>
              <w:rPr>
                <w:sz w:val="17"/>
                <w:szCs w:val="17"/>
              </w:rPr>
              <w:t>The Act places accountability on the Fiduciary even when a Processor handles the data, and Rule 12-type provisions expect contracts to bind Processors to specific security safeguards, not just generic 'obligations'.</w:t>
            </w:r>
          </w:p>
        </w:tc>
        <w:tc>
          <w:tcPr>
            <w:tcW w:w="2620" w:type="dxa"/>
            <w:shd w:val="clear" w:color="auto" w:fill="FFFFFF"/>
            <w:tcMar>
              <w:top w:w="80" w:type="dxa"/>
              <w:left w:w="100" w:type="dxa"/>
              <w:bottom w:w="80" w:type="dxa"/>
              <w:right w:w="100" w:type="dxa"/>
            </w:tcMar>
          </w:tcPr>
          <w:p w14:paraId="168D7E29" w14:textId="77777777" w:rsidR="006524AE" w:rsidRDefault="00B13BB0">
            <w:r>
              <w:rPr>
                <w:sz w:val="17"/>
                <w:szCs w:val="17"/>
              </w:rPr>
              <w:t>"Every Processor we engage is contractually bound to implement the security safeguards required under Rule 6 of the DPDP Rules, 2025, to process data only on our documented instructions, and to assist us in meeting our breach-notification and erasure obligations."</w:t>
            </w:r>
          </w:p>
        </w:tc>
      </w:tr>
      <w:tr w:rsidR="006524AE" w14:paraId="21227396" w14:textId="77777777">
        <w:tblPrEx>
          <w:tblCellMar>
            <w:top w:w="0" w:type="dxa"/>
            <w:bottom w:w="0" w:type="dxa"/>
          </w:tblCellMar>
        </w:tblPrEx>
        <w:tc>
          <w:tcPr>
            <w:tcW w:w="400" w:type="dxa"/>
            <w:shd w:val="clear" w:color="auto" w:fill="FDE7B0"/>
            <w:tcMar>
              <w:top w:w="80" w:type="dxa"/>
              <w:left w:w="100" w:type="dxa"/>
              <w:bottom w:w="80" w:type="dxa"/>
              <w:right w:w="100" w:type="dxa"/>
            </w:tcMar>
          </w:tcPr>
          <w:p w14:paraId="6A832FC9" w14:textId="77777777" w:rsidR="006524AE" w:rsidRDefault="00B13BB0">
            <w:pPr>
              <w:jc w:val="center"/>
            </w:pPr>
            <w:r>
              <w:rPr>
                <w:sz w:val="18"/>
                <w:szCs w:val="18"/>
              </w:rPr>
              <w:t>12</w:t>
            </w:r>
          </w:p>
        </w:tc>
        <w:tc>
          <w:tcPr>
            <w:tcW w:w="1700" w:type="dxa"/>
            <w:shd w:val="clear" w:color="auto" w:fill="FDE7B0"/>
            <w:tcMar>
              <w:top w:w="80" w:type="dxa"/>
              <w:left w:w="100" w:type="dxa"/>
              <w:bottom w:w="80" w:type="dxa"/>
              <w:right w:w="100" w:type="dxa"/>
            </w:tcMar>
          </w:tcPr>
          <w:p w14:paraId="45CD18BF" w14:textId="77777777" w:rsidR="006524AE" w:rsidRDefault="00B13BB0">
            <w:pPr>
              <w:spacing w:after="40"/>
            </w:pPr>
            <w:r>
              <w:rPr>
                <w:sz w:val="18"/>
                <w:szCs w:val="18"/>
              </w:rPr>
              <w:t>AMBER</w:t>
            </w:r>
          </w:p>
          <w:p w14:paraId="683B3259" w14:textId="77777777" w:rsidR="006524AE" w:rsidRDefault="00B13BB0">
            <w:pPr>
              <w:spacing w:after="40"/>
            </w:pPr>
            <w:r>
              <w:rPr>
                <w:sz w:val="18"/>
                <w:szCs w:val="18"/>
              </w:rPr>
              <w:t>Sourcing from 'publicly available databases' — DPDP Act §3(c)(ii)</w:t>
            </w:r>
          </w:p>
        </w:tc>
        <w:tc>
          <w:tcPr>
            <w:tcW w:w="2400" w:type="dxa"/>
            <w:shd w:val="clear" w:color="auto" w:fill="FFFFFF"/>
            <w:tcMar>
              <w:top w:w="80" w:type="dxa"/>
              <w:left w:w="100" w:type="dxa"/>
              <w:bottom w:w="80" w:type="dxa"/>
              <w:right w:w="100" w:type="dxa"/>
            </w:tcMar>
          </w:tcPr>
          <w:p w14:paraId="42076DCD" w14:textId="77777777" w:rsidR="006524AE" w:rsidRDefault="00B13BB0">
            <w:r>
              <w:rPr>
                <w:sz w:val="17"/>
                <w:szCs w:val="17"/>
              </w:rPr>
              <w:t>"We may receive information about you from other sources, including publicly available databases, marketing partners..."</w:t>
            </w:r>
          </w:p>
        </w:tc>
        <w:tc>
          <w:tcPr>
            <w:tcW w:w="2400" w:type="dxa"/>
            <w:shd w:val="clear" w:color="auto" w:fill="FFFFFF"/>
            <w:tcMar>
              <w:top w:w="80" w:type="dxa"/>
              <w:left w:w="100" w:type="dxa"/>
              <w:bottom w:w="80" w:type="dxa"/>
              <w:right w:w="100" w:type="dxa"/>
            </w:tcMar>
          </w:tcPr>
          <w:p w14:paraId="320C39C6" w14:textId="77777777" w:rsidR="006524AE" w:rsidRDefault="00B13BB0">
            <w:r>
              <w:rPr>
                <w:sz w:val="17"/>
                <w:szCs w:val="17"/>
              </w:rPr>
              <w:t xml:space="preserve">§3(c)(ii) exempts only personal data that the Data Principal </w:t>
            </w:r>
            <w:proofErr w:type="spellStart"/>
            <w:r>
              <w:rPr>
                <w:sz w:val="17"/>
                <w:szCs w:val="17"/>
              </w:rPr>
              <w:t>themself</w:t>
            </w:r>
            <w:proofErr w:type="spellEnd"/>
            <w:r>
              <w:rPr>
                <w:sz w:val="17"/>
                <w:szCs w:val="17"/>
              </w:rPr>
              <w:t xml:space="preserve"> has made publicly available (or that is required to be made public by law). Sourcing from third-party 'publicly available databases' generally does not fall inside that exemption and needs its own lawful basis.</w:t>
            </w:r>
          </w:p>
        </w:tc>
        <w:tc>
          <w:tcPr>
            <w:tcW w:w="2620" w:type="dxa"/>
            <w:shd w:val="clear" w:color="auto" w:fill="FFFFFF"/>
            <w:tcMar>
              <w:top w:w="80" w:type="dxa"/>
              <w:left w:w="100" w:type="dxa"/>
              <w:bottom w:w="80" w:type="dxa"/>
              <w:right w:w="100" w:type="dxa"/>
            </w:tcMar>
          </w:tcPr>
          <w:p w14:paraId="1A1134C7" w14:textId="77777777" w:rsidR="006524AE" w:rsidRDefault="00B13BB0">
            <w:r>
              <w:rPr>
                <w:sz w:val="17"/>
                <w:szCs w:val="17"/>
              </w:rPr>
              <w:t>"We may supplement your data with information you have made publicly available yourself, or with information from marketing partners where you have separately consented to that partner sharing your data with us."</w:t>
            </w:r>
          </w:p>
        </w:tc>
      </w:tr>
      <w:tr w:rsidR="006524AE" w14:paraId="7A81BC74" w14:textId="77777777">
        <w:tblPrEx>
          <w:tblCellMar>
            <w:top w:w="0" w:type="dxa"/>
            <w:bottom w:w="0" w:type="dxa"/>
          </w:tblCellMar>
        </w:tblPrEx>
        <w:tc>
          <w:tcPr>
            <w:tcW w:w="400" w:type="dxa"/>
            <w:shd w:val="clear" w:color="auto" w:fill="FDE7B0"/>
            <w:tcMar>
              <w:top w:w="80" w:type="dxa"/>
              <w:left w:w="100" w:type="dxa"/>
              <w:bottom w:w="80" w:type="dxa"/>
              <w:right w:w="100" w:type="dxa"/>
            </w:tcMar>
          </w:tcPr>
          <w:p w14:paraId="41B90B4C" w14:textId="77777777" w:rsidR="006524AE" w:rsidRDefault="00B13BB0">
            <w:pPr>
              <w:jc w:val="center"/>
            </w:pPr>
            <w:r>
              <w:rPr>
                <w:sz w:val="18"/>
                <w:szCs w:val="18"/>
              </w:rPr>
              <w:t>13</w:t>
            </w:r>
          </w:p>
        </w:tc>
        <w:tc>
          <w:tcPr>
            <w:tcW w:w="1700" w:type="dxa"/>
            <w:shd w:val="clear" w:color="auto" w:fill="FDE7B0"/>
            <w:tcMar>
              <w:top w:w="80" w:type="dxa"/>
              <w:left w:w="100" w:type="dxa"/>
              <w:bottom w:w="80" w:type="dxa"/>
              <w:right w:w="100" w:type="dxa"/>
            </w:tcMar>
          </w:tcPr>
          <w:p w14:paraId="72F33939" w14:textId="77777777" w:rsidR="006524AE" w:rsidRDefault="00B13BB0">
            <w:pPr>
              <w:spacing w:after="40"/>
            </w:pPr>
            <w:r>
              <w:rPr>
                <w:sz w:val="18"/>
                <w:szCs w:val="18"/>
              </w:rPr>
              <w:t>AMBER</w:t>
            </w:r>
          </w:p>
          <w:p w14:paraId="77E73F02" w14:textId="77777777" w:rsidR="006524AE" w:rsidRDefault="00B13BB0">
            <w:pPr>
              <w:spacing w:after="40"/>
            </w:pPr>
            <w:r>
              <w:rPr>
                <w:sz w:val="18"/>
                <w:szCs w:val="18"/>
              </w:rPr>
              <w:t>Entity / Data Fiduciary identification</w:t>
            </w:r>
          </w:p>
        </w:tc>
        <w:tc>
          <w:tcPr>
            <w:tcW w:w="2400" w:type="dxa"/>
            <w:shd w:val="clear" w:color="auto" w:fill="FFFFFF"/>
            <w:tcMar>
              <w:top w:w="80" w:type="dxa"/>
              <w:left w:w="100" w:type="dxa"/>
              <w:bottom w:w="80" w:type="dxa"/>
              <w:right w:w="100" w:type="dxa"/>
            </w:tcMar>
          </w:tcPr>
          <w:p w14:paraId="7D6920F1" w14:textId="77777777" w:rsidR="006524AE" w:rsidRDefault="00B13BB0">
            <w:r>
              <w:rPr>
                <w:sz w:val="17"/>
                <w:szCs w:val="17"/>
              </w:rPr>
              <w:t>The policy is issued by '</w:t>
            </w:r>
            <w:proofErr w:type="spellStart"/>
            <w:r>
              <w:rPr>
                <w:sz w:val="17"/>
                <w:szCs w:val="17"/>
              </w:rPr>
              <w:t>GlowNest</w:t>
            </w:r>
            <w:proofErr w:type="spellEnd"/>
            <w:r>
              <w:rPr>
                <w:sz w:val="17"/>
                <w:szCs w:val="17"/>
              </w:rPr>
              <w:t xml:space="preserve"> E-Retail Private Limited' but casually refers to '</w:t>
            </w:r>
            <w:proofErr w:type="spellStart"/>
            <w:r>
              <w:rPr>
                <w:sz w:val="17"/>
                <w:szCs w:val="17"/>
              </w:rPr>
              <w:t>GlowNest</w:t>
            </w:r>
            <w:proofErr w:type="spellEnd"/>
            <w:r>
              <w:rPr>
                <w:sz w:val="17"/>
                <w:szCs w:val="17"/>
              </w:rPr>
              <w:t xml:space="preserve">' as a single umbrella brand, while </w:t>
            </w:r>
            <w:proofErr w:type="spellStart"/>
            <w:r>
              <w:rPr>
                <w:sz w:val="17"/>
                <w:szCs w:val="17"/>
              </w:rPr>
              <w:t>BrightCart</w:t>
            </w:r>
            <w:proofErr w:type="spellEnd"/>
            <w:r>
              <w:rPr>
                <w:sz w:val="17"/>
                <w:szCs w:val="17"/>
              </w:rPr>
              <w:t xml:space="preserve"> Fashion and </w:t>
            </w:r>
            <w:proofErr w:type="spellStart"/>
            <w:r>
              <w:rPr>
                <w:sz w:val="17"/>
                <w:szCs w:val="17"/>
              </w:rPr>
              <w:t>Nykd</w:t>
            </w:r>
            <w:proofErr w:type="spellEnd"/>
            <w:r>
              <w:rPr>
                <w:sz w:val="17"/>
                <w:szCs w:val="17"/>
              </w:rPr>
              <w:t xml:space="preserve"> (</w:t>
            </w:r>
            <w:proofErr w:type="spellStart"/>
            <w:r>
              <w:rPr>
                <w:sz w:val="17"/>
                <w:szCs w:val="17"/>
              </w:rPr>
              <w:t>BrightCart</w:t>
            </w:r>
            <w:proofErr w:type="spellEnd"/>
            <w:r>
              <w:rPr>
                <w:sz w:val="17"/>
                <w:szCs w:val="17"/>
              </w:rPr>
              <w:t xml:space="preserve"> Fashion sub-brand) operate under separate legal entities with their own privacy policies.</w:t>
            </w:r>
          </w:p>
        </w:tc>
        <w:tc>
          <w:tcPr>
            <w:tcW w:w="2400" w:type="dxa"/>
            <w:shd w:val="clear" w:color="auto" w:fill="FFFFFF"/>
            <w:tcMar>
              <w:top w:w="80" w:type="dxa"/>
              <w:left w:w="100" w:type="dxa"/>
              <w:bottom w:w="80" w:type="dxa"/>
              <w:right w:w="100" w:type="dxa"/>
            </w:tcMar>
          </w:tcPr>
          <w:p w14:paraId="4521A913" w14:textId="77777777" w:rsidR="006524AE" w:rsidRDefault="00B13BB0">
            <w:r>
              <w:rPr>
                <w:sz w:val="17"/>
                <w:szCs w:val="17"/>
              </w:rPr>
              <w:t xml:space="preserve">DPDP accountability attaches to a specific Data Fiduciary. If a customer's data moves between </w:t>
            </w:r>
            <w:proofErr w:type="spellStart"/>
            <w:r>
              <w:rPr>
                <w:sz w:val="17"/>
                <w:szCs w:val="17"/>
              </w:rPr>
              <w:t>GlowNest</w:t>
            </w:r>
            <w:proofErr w:type="spellEnd"/>
            <w:r>
              <w:rPr>
                <w:sz w:val="17"/>
                <w:szCs w:val="17"/>
              </w:rPr>
              <w:t xml:space="preserve"> E-Retail, </w:t>
            </w:r>
            <w:proofErr w:type="spellStart"/>
            <w:r>
              <w:rPr>
                <w:sz w:val="17"/>
                <w:szCs w:val="17"/>
              </w:rPr>
              <w:t>BrightCart</w:t>
            </w:r>
            <w:proofErr w:type="spellEnd"/>
            <w:r>
              <w:rPr>
                <w:sz w:val="17"/>
                <w:szCs w:val="17"/>
              </w:rPr>
              <w:t xml:space="preserve"> Fashion </w:t>
            </w:r>
            <w:proofErr w:type="spellStart"/>
            <w:r>
              <w:rPr>
                <w:sz w:val="17"/>
                <w:szCs w:val="17"/>
              </w:rPr>
              <w:t>Pvt.</w:t>
            </w:r>
            <w:proofErr w:type="spellEnd"/>
            <w:r>
              <w:rPr>
                <w:sz w:val="17"/>
                <w:szCs w:val="17"/>
              </w:rPr>
              <w:t xml:space="preserve"> Ltd. and other group entities without a clear inter-entity basis, it becomes unclear who is legally accountable for a given processing activity or breach.</w:t>
            </w:r>
          </w:p>
        </w:tc>
        <w:tc>
          <w:tcPr>
            <w:tcW w:w="2620" w:type="dxa"/>
            <w:shd w:val="clear" w:color="auto" w:fill="FFFFFF"/>
            <w:tcMar>
              <w:top w:w="80" w:type="dxa"/>
              <w:left w:w="100" w:type="dxa"/>
              <w:bottom w:w="80" w:type="dxa"/>
              <w:right w:w="100" w:type="dxa"/>
            </w:tcMar>
          </w:tcPr>
          <w:p w14:paraId="37600A8E" w14:textId="77777777" w:rsidR="006524AE" w:rsidRDefault="00B13BB0">
            <w:r>
              <w:rPr>
                <w:sz w:val="17"/>
                <w:szCs w:val="17"/>
              </w:rPr>
              <w:t xml:space="preserve">"This Policy governs processing by </w:t>
            </w:r>
            <w:proofErr w:type="spellStart"/>
            <w:r>
              <w:rPr>
                <w:sz w:val="17"/>
                <w:szCs w:val="17"/>
              </w:rPr>
              <w:t>GlowNest</w:t>
            </w:r>
            <w:proofErr w:type="spellEnd"/>
            <w:r>
              <w:rPr>
                <w:sz w:val="17"/>
                <w:szCs w:val="17"/>
              </w:rPr>
              <w:t xml:space="preserve"> E-Retail Private Limited. Where your data is shared with group entities such as </w:t>
            </w:r>
            <w:proofErr w:type="spellStart"/>
            <w:r>
              <w:rPr>
                <w:sz w:val="17"/>
                <w:szCs w:val="17"/>
              </w:rPr>
              <w:t>BrightCart</w:t>
            </w:r>
            <w:proofErr w:type="spellEnd"/>
            <w:r>
              <w:rPr>
                <w:sz w:val="17"/>
                <w:szCs w:val="17"/>
              </w:rPr>
              <w:t xml:space="preserve"> Fashion Private Limited, that entity acts as an independent Data Fiduciary under its own privacy policy, or as our Processor under a written agreement, as specified in Section [X]."</w:t>
            </w:r>
          </w:p>
        </w:tc>
      </w:tr>
    </w:tbl>
    <w:p w14:paraId="5E27AA4C" w14:textId="31746925" w:rsidR="006524AE" w:rsidRDefault="00B13BB0">
      <w:pPr>
        <w:pStyle w:val="Heading1"/>
        <w:spacing w:before="300" w:after="150"/>
      </w:pPr>
      <w:r>
        <w:t xml:space="preserve">3. Reality Check </w:t>
      </w:r>
      <w:r>
        <w:t xml:space="preserve"> Can </w:t>
      </w:r>
      <w:proofErr w:type="spellStart"/>
      <w:r>
        <w:t>GlowNest</w:t>
      </w:r>
      <w:proofErr w:type="spellEnd"/>
      <w:r>
        <w:t xml:space="preserve"> Actually Deliver These Promises?</w:t>
      </w:r>
    </w:p>
    <w:p w14:paraId="32BCFEB3" w14:textId="77777777" w:rsidR="006524AE" w:rsidRDefault="00B13BB0">
      <w:pPr>
        <w:spacing w:after="120"/>
      </w:pPr>
      <w:r>
        <w:t>A policy is only as good as the operational workflow behind it. Before publishing revised wording, confirm these exist or are being built — otherwise the fix creates a new (worse) gap between stated policy and actual practice:</w:t>
      </w:r>
    </w:p>
    <w:p w14:paraId="1783F1BF" w14:textId="77777777" w:rsidR="006524AE" w:rsidRDefault="00B13BB0">
      <w:pPr>
        <w:pStyle w:val="ListParagraph"/>
        <w:numPr>
          <w:ilvl w:val="0"/>
          <w:numId w:val="1"/>
        </w:numPr>
        <w:spacing w:after="80"/>
      </w:pPr>
      <w:r>
        <w:t>Consent withdrawal (Row 3): Is there an actual toggle/settings page today, or would the policy promise a feature that doesn't exist yet?</w:t>
      </w:r>
    </w:p>
    <w:p w14:paraId="3BDDE243" w14:textId="77777777" w:rsidR="006524AE" w:rsidRDefault="00B13BB0">
      <w:pPr>
        <w:pStyle w:val="ListParagraph"/>
        <w:numPr>
          <w:ilvl w:val="0"/>
          <w:numId w:val="1"/>
        </w:numPr>
        <w:spacing w:after="80"/>
      </w:pPr>
      <w:r>
        <w:t xml:space="preserve">Breach notification (Row 4): Is there an incident-response </w:t>
      </w:r>
      <w:proofErr w:type="spellStart"/>
      <w:r>
        <w:t>runbook</w:t>
      </w:r>
      <w:proofErr w:type="spellEnd"/>
      <w:r>
        <w:t xml:space="preserve"> and a named contact for the Data Protection Board, or would 'without undue delay' be an empty commitment?</w:t>
      </w:r>
    </w:p>
    <w:p w14:paraId="4A3DEED1" w14:textId="77777777" w:rsidR="006524AE" w:rsidRDefault="00B13BB0">
      <w:pPr>
        <w:pStyle w:val="ListParagraph"/>
        <w:numPr>
          <w:ilvl w:val="0"/>
          <w:numId w:val="1"/>
        </w:numPr>
        <w:spacing w:after="80"/>
      </w:pPr>
      <w:r>
        <w:t xml:space="preserve">Erasure on request (Row 6, Row 7): Can Engineering actually purge a customer record end-to-end (including third-party SDK copies — </w:t>
      </w:r>
      <w:proofErr w:type="spellStart"/>
      <w:r>
        <w:t>Clevertap</w:t>
      </w:r>
      <w:proofErr w:type="spellEnd"/>
      <w:r>
        <w:t xml:space="preserve">, </w:t>
      </w:r>
      <w:proofErr w:type="spellStart"/>
      <w:r>
        <w:t>AppsFlyer</w:t>
      </w:r>
      <w:proofErr w:type="spellEnd"/>
      <w:r>
        <w:t>, payment partners), or only from the primary database?</w:t>
      </w:r>
    </w:p>
    <w:p w14:paraId="44FFB6E5" w14:textId="77777777" w:rsidR="006524AE" w:rsidRDefault="00B13BB0">
      <w:pPr>
        <w:pStyle w:val="ListParagraph"/>
        <w:numPr>
          <w:ilvl w:val="0"/>
          <w:numId w:val="1"/>
        </w:numPr>
        <w:spacing w:after="80"/>
      </w:pPr>
      <w:r>
        <w:t>Age-verification (Row 5): Is there any mechanism today beyond a checkbox disclaimer to catch or act on a minor's account?</w:t>
      </w:r>
    </w:p>
    <w:p w14:paraId="21184968" w14:textId="77777777" w:rsidR="006524AE" w:rsidRDefault="00B13BB0">
      <w:pPr>
        <w:spacing w:after="120"/>
      </w:pPr>
      <w:r>
        <w:rPr>
          <w:b/>
          <w:bCs/>
        </w:rPr>
        <w:t>Flag each of these to Product/Engineering before the redraft goes out — a promise the org can't keep is a bigger liability than silence.</w:t>
      </w:r>
    </w:p>
    <w:p w14:paraId="3BC4E8EF" w14:textId="37009346" w:rsidR="006524AE" w:rsidRDefault="00B13BB0">
      <w:pPr>
        <w:pStyle w:val="Heading1"/>
        <w:spacing w:before="300" w:after="150"/>
      </w:pPr>
      <w:r>
        <w:t xml:space="preserve">4. Remediation Plan </w:t>
      </w:r>
      <w:r>
        <w:t xml:space="preserve"> Sequenced by Exposure &amp; Effort</w:t>
      </w:r>
    </w:p>
    <w:p w14:paraId="0C28DD9D" w14:textId="77777777" w:rsidR="006524AE" w:rsidRDefault="00B13BB0">
      <w:pPr>
        <w:spacing w:after="120"/>
      </w:pPr>
      <w:r>
        <w:t>Critical items address Red rows with the highest penalty exposure under the DPDP Act's Schedule (up to ₹250 crore for security-safeguard failures, ₹200 crore for breach-notification or children's-data failures). Quick wins are callable within 1-2 weeks without engineering dependency.</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200"/>
        <w:gridCol w:w="1800"/>
        <w:gridCol w:w="1800"/>
        <w:gridCol w:w="1220"/>
      </w:tblGrid>
      <w:tr w:rsidR="006524AE" w14:paraId="7FD13934" w14:textId="77777777">
        <w:tblPrEx>
          <w:tblCellMar>
            <w:top w:w="0" w:type="dxa"/>
            <w:bottom w:w="0" w:type="dxa"/>
          </w:tblCellMar>
        </w:tblPrEx>
        <w:trPr>
          <w:tblHeader/>
        </w:trPr>
        <w:tc>
          <w:tcPr>
            <w:tcW w:w="500" w:type="dxa"/>
            <w:shd w:val="clear" w:color="auto" w:fill="1F2937"/>
            <w:tcMar>
              <w:top w:w="80" w:type="dxa"/>
              <w:left w:w="100" w:type="dxa"/>
              <w:bottom w:w="80" w:type="dxa"/>
              <w:right w:w="100" w:type="dxa"/>
            </w:tcMar>
          </w:tcPr>
          <w:p w14:paraId="16CA79C6" w14:textId="77777777" w:rsidR="006524AE" w:rsidRDefault="00B13BB0">
            <w:r>
              <w:rPr>
                <w:b/>
                <w:bCs/>
                <w:sz w:val="18"/>
                <w:szCs w:val="18"/>
              </w:rPr>
              <w:t>#</w:t>
            </w:r>
          </w:p>
        </w:tc>
        <w:tc>
          <w:tcPr>
            <w:tcW w:w="4200" w:type="dxa"/>
            <w:shd w:val="clear" w:color="auto" w:fill="1F2937"/>
            <w:tcMar>
              <w:top w:w="80" w:type="dxa"/>
              <w:left w:w="100" w:type="dxa"/>
              <w:bottom w:w="80" w:type="dxa"/>
              <w:right w:w="100" w:type="dxa"/>
            </w:tcMar>
          </w:tcPr>
          <w:p w14:paraId="70AE5B12" w14:textId="77777777" w:rsidR="006524AE" w:rsidRDefault="00B13BB0">
            <w:r>
              <w:rPr>
                <w:b/>
                <w:bCs/>
                <w:sz w:val="18"/>
                <w:szCs w:val="18"/>
              </w:rPr>
              <w:t>Action</w:t>
            </w:r>
          </w:p>
        </w:tc>
        <w:tc>
          <w:tcPr>
            <w:tcW w:w="1800" w:type="dxa"/>
            <w:shd w:val="clear" w:color="auto" w:fill="1F2937"/>
            <w:tcMar>
              <w:top w:w="80" w:type="dxa"/>
              <w:left w:w="100" w:type="dxa"/>
              <w:bottom w:w="80" w:type="dxa"/>
              <w:right w:w="100" w:type="dxa"/>
            </w:tcMar>
          </w:tcPr>
          <w:p w14:paraId="6BE8BFF1" w14:textId="77777777" w:rsidR="006524AE" w:rsidRDefault="00B13BB0">
            <w:r>
              <w:rPr>
                <w:b/>
                <w:bCs/>
                <w:sz w:val="18"/>
                <w:szCs w:val="18"/>
              </w:rPr>
              <w:t>Owner</w:t>
            </w:r>
          </w:p>
        </w:tc>
        <w:tc>
          <w:tcPr>
            <w:tcW w:w="1800" w:type="dxa"/>
            <w:shd w:val="clear" w:color="auto" w:fill="1F2937"/>
            <w:tcMar>
              <w:top w:w="80" w:type="dxa"/>
              <w:left w:w="100" w:type="dxa"/>
              <w:bottom w:w="80" w:type="dxa"/>
              <w:right w:w="100" w:type="dxa"/>
            </w:tcMar>
          </w:tcPr>
          <w:p w14:paraId="5B186ADF" w14:textId="77777777" w:rsidR="006524AE" w:rsidRDefault="00B13BB0">
            <w:r>
              <w:rPr>
                <w:b/>
                <w:bCs/>
                <w:sz w:val="18"/>
                <w:szCs w:val="18"/>
              </w:rPr>
              <w:t>Effort / Timeline</w:t>
            </w:r>
          </w:p>
        </w:tc>
        <w:tc>
          <w:tcPr>
            <w:tcW w:w="1220" w:type="dxa"/>
            <w:shd w:val="clear" w:color="auto" w:fill="1F2937"/>
            <w:tcMar>
              <w:top w:w="80" w:type="dxa"/>
              <w:left w:w="100" w:type="dxa"/>
              <w:bottom w:w="80" w:type="dxa"/>
              <w:right w:w="100" w:type="dxa"/>
            </w:tcMar>
          </w:tcPr>
          <w:p w14:paraId="52C8E39F" w14:textId="77777777" w:rsidR="006524AE" w:rsidRDefault="00B13BB0">
            <w:r>
              <w:rPr>
                <w:b/>
                <w:bCs/>
                <w:sz w:val="18"/>
                <w:szCs w:val="18"/>
              </w:rPr>
              <w:t>Priority</w:t>
            </w:r>
          </w:p>
        </w:tc>
      </w:tr>
      <w:tr w:rsidR="006524AE" w14:paraId="0EE9FD22" w14:textId="77777777">
        <w:tblPrEx>
          <w:tblCellMar>
            <w:top w:w="0" w:type="dxa"/>
            <w:bottom w:w="0" w:type="dxa"/>
          </w:tblCellMar>
        </w:tblPrEx>
        <w:tc>
          <w:tcPr>
            <w:tcW w:w="500" w:type="dxa"/>
            <w:tcMar>
              <w:top w:w="80" w:type="dxa"/>
              <w:left w:w="100" w:type="dxa"/>
              <w:bottom w:w="80" w:type="dxa"/>
              <w:right w:w="100" w:type="dxa"/>
            </w:tcMar>
          </w:tcPr>
          <w:p w14:paraId="188C760E" w14:textId="77777777" w:rsidR="006524AE" w:rsidRDefault="00B13BB0">
            <w:pPr>
              <w:jc w:val="center"/>
            </w:pPr>
            <w:r>
              <w:rPr>
                <w:sz w:val="18"/>
                <w:szCs w:val="18"/>
              </w:rPr>
              <w:t>1</w:t>
            </w:r>
          </w:p>
        </w:tc>
        <w:tc>
          <w:tcPr>
            <w:tcW w:w="4200" w:type="dxa"/>
            <w:tcMar>
              <w:top w:w="80" w:type="dxa"/>
              <w:left w:w="100" w:type="dxa"/>
              <w:bottom w:w="80" w:type="dxa"/>
              <w:right w:w="100" w:type="dxa"/>
            </w:tcMar>
          </w:tcPr>
          <w:p w14:paraId="5F99BBCB" w14:textId="77777777" w:rsidR="006524AE" w:rsidRDefault="00B13BB0">
            <w:r>
              <w:rPr>
                <w:sz w:val="17"/>
                <w:szCs w:val="17"/>
              </w:rPr>
              <w:t>Replace GDPR terms with DPDP terms (Data Principal / Fiduciary / Processor) throughout</w:t>
            </w:r>
          </w:p>
        </w:tc>
        <w:tc>
          <w:tcPr>
            <w:tcW w:w="1800" w:type="dxa"/>
            <w:tcMar>
              <w:top w:w="80" w:type="dxa"/>
              <w:left w:w="100" w:type="dxa"/>
              <w:bottom w:w="80" w:type="dxa"/>
              <w:right w:w="100" w:type="dxa"/>
            </w:tcMar>
          </w:tcPr>
          <w:p w14:paraId="27C64A3E" w14:textId="77777777" w:rsidR="006524AE" w:rsidRDefault="00B13BB0">
            <w:r>
              <w:rPr>
                <w:sz w:val="17"/>
                <w:szCs w:val="17"/>
              </w:rPr>
              <w:t>Legal</w:t>
            </w:r>
          </w:p>
        </w:tc>
        <w:tc>
          <w:tcPr>
            <w:tcW w:w="1800" w:type="dxa"/>
            <w:tcMar>
              <w:top w:w="80" w:type="dxa"/>
              <w:left w:w="100" w:type="dxa"/>
              <w:bottom w:w="80" w:type="dxa"/>
              <w:right w:w="100" w:type="dxa"/>
            </w:tcMar>
          </w:tcPr>
          <w:p w14:paraId="7D1AEAC9" w14:textId="77777777" w:rsidR="006524AE" w:rsidRDefault="00B13BB0">
            <w:r>
              <w:rPr>
                <w:sz w:val="17"/>
                <w:szCs w:val="17"/>
              </w:rPr>
              <w:t>Quick win — 3-5 days</w:t>
            </w:r>
          </w:p>
        </w:tc>
        <w:tc>
          <w:tcPr>
            <w:tcW w:w="1220" w:type="dxa"/>
            <w:shd w:val="clear" w:color="auto" w:fill="F8CBCB"/>
            <w:tcMar>
              <w:top w:w="80" w:type="dxa"/>
              <w:left w:w="100" w:type="dxa"/>
              <w:bottom w:w="80" w:type="dxa"/>
              <w:right w:w="100" w:type="dxa"/>
            </w:tcMar>
          </w:tcPr>
          <w:p w14:paraId="0CAE1F0D" w14:textId="77777777" w:rsidR="006524AE" w:rsidRDefault="00B13BB0">
            <w:r>
              <w:rPr>
                <w:b/>
                <w:bCs/>
                <w:sz w:val="18"/>
                <w:szCs w:val="18"/>
              </w:rPr>
              <w:t>Critical</w:t>
            </w:r>
          </w:p>
        </w:tc>
      </w:tr>
      <w:tr w:rsidR="006524AE" w14:paraId="5D32E74F" w14:textId="77777777">
        <w:tblPrEx>
          <w:tblCellMar>
            <w:top w:w="0" w:type="dxa"/>
            <w:bottom w:w="0" w:type="dxa"/>
          </w:tblCellMar>
        </w:tblPrEx>
        <w:tc>
          <w:tcPr>
            <w:tcW w:w="500" w:type="dxa"/>
            <w:tcMar>
              <w:top w:w="80" w:type="dxa"/>
              <w:left w:w="100" w:type="dxa"/>
              <w:bottom w:w="80" w:type="dxa"/>
              <w:right w:w="100" w:type="dxa"/>
            </w:tcMar>
          </w:tcPr>
          <w:p w14:paraId="41A0B8CC" w14:textId="77777777" w:rsidR="006524AE" w:rsidRDefault="00B13BB0">
            <w:pPr>
              <w:jc w:val="center"/>
            </w:pPr>
            <w:r>
              <w:rPr>
                <w:sz w:val="18"/>
                <w:szCs w:val="18"/>
              </w:rPr>
              <w:t>2</w:t>
            </w:r>
          </w:p>
        </w:tc>
        <w:tc>
          <w:tcPr>
            <w:tcW w:w="4200" w:type="dxa"/>
            <w:tcMar>
              <w:top w:w="80" w:type="dxa"/>
              <w:left w:w="100" w:type="dxa"/>
              <w:bottom w:w="80" w:type="dxa"/>
              <w:right w:w="100" w:type="dxa"/>
            </w:tcMar>
          </w:tcPr>
          <w:p w14:paraId="4DDE53D5" w14:textId="77777777" w:rsidR="006524AE" w:rsidRDefault="00B13BB0">
            <w:r>
              <w:rPr>
                <w:sz w:val="17"/>
                <w:szCs w:val="17"/>
              </w:rPr>
              <w:t>Redesign consent capture: itemised, affirmative opt-in per purpose; remove implied 'by using the Platform' consent</w:t>
            </w:r>
          </w:p>
        </w:tc>
        <w:tc>
          <w:tcPr>
            <w:tcW w:w="1800" w:type="dxa"/>
            <w:tcMar>
              <w:top w:w="80" w:type="dxa"/>
              <w:left w:w="100" w:type="dxa"/>
              <w:bottom w:w="80" w:type="dxa"/>
              <w:right w:w="100" w:type="dxa"/>
            </w:tcMar>
          </w:tcPr>
          <w:p w14:paraId="6542F788" w14:textId="77777777" w:rsidR="006524AE" w:rsidRDefault="00B13BB0">
            <w:r>
              <w:rPr>
                <w:sz w:val="17"/>
                <w:szCs w:val="17"/>
              </w:rPr>
              <w:t>Product + Legal</w:t>
            </w:r>
          </w:p>
        </w:tc>
        <w:tc>
          <w:tcPr>
            <w:tcW w:w="1800" w:type="dxa"/>
            <w:tcMar>
              <w:top w:w="80" w:type="dxa"/>
              <w:left w:w="100" w:type="dxa"/>
              <w:bottom w:w="80" w:type="dxa"/>
              <w:right w:w="100" w:type="dxa"/>
            </w:tcMar>
          </w:tcPr>
          <w:p w14:paraId="551EFE7D" w14:textId="77777777" w:rsidR="006524AE" w:rsidRDefault="00B13BB0">
            <w:r>
              <w:rPr>
                <w:sz w:val="17"/>
                <w:szCs w:val="17"/>
              </w:rPr>
              <w:t>3-4 weeks</w:t>
            </w:r>
          </w:p>
        </w:tc>
        <w:tc>
          <w:tcPr>
            <w:tcW w:w="1220" w:type="dxa"/>
            <w:shd w:val="clear" w:color="auto" w:fill="F8CBCB"/>
            <w:tcMar>
              <w:top w:w="80" w:type="dxa"/>
              <w:left w:w="100" w:type="dxa"/>
              <w:bottom w:w="80" w:type="dxa"/>
              <w:right w:w="100" w:type="dxa"/>
            </w:tcMar>
          </w:tcPr>
          <w:p w14:paraId="2115D256" w14:textId="77777777" w:rsidR="006524AE" w:rsidRDefault="00B13BB0">
            <w:r>
              <w:rPr>
                <w:b/>
                <w:bCs/>
                <w:sz w:val="18"/>
                <w:szCs w:val="18"/>
              </w:rPr>
              <w:t>Critical</w:t>
            </w:r>
          </w:p>
        </w:tc>
      </w:tr>
      <w:tr w:rsidR="006524AE" w14:paraId="4B1A87CE" w14:textId="77777777">
        <w:tblPrEx>
          <w:tblCellMar>
            <w:top w:w="0" w:type="dxa"/>
            <w:bottom w:w="0" w:type="dxa"/>
          </w:tblCellMar>
        </w:tblPrEx>
        <w:tc>
          <w:tcPr>
            <w:tcW w:w="500" w:type="dxa"/>
            <w:tcMar>
              <w:top w:w="80" w:type="dxa"/>
              <w:left w:w="100" w:type="dxa"/>
              <w:bottom w:w="80" w:type="dxa"/>
              <w:right w:w="100" w:type="dxa"/>
            </w:tcMar>
          </w:tcPr>
          <w:p w14:paraId="04E0B924" w14:textId="77777777" w:rsidR="006524AE" w:rsidRDefault="00B13BB0">
            <w:pPr>
              <w:jc w:val="center"/>
            </w:pPr>
            <w:r>
              <w:rPr>
                <w:sz w:val="18"/>
                <w:szCs w:val="18"/>
              </w:rPr>
              <w:t>3</w:t>
            </w:r>
          </w:p>
        </w:tc>
        <w:tc>
          <w:tcPr>
            <w:tcW w:w="4200" w:type="dxa"/>
            <w:tcMar>
              <w:top w:w="80" w:type="dxa"/>
              <w:left w:w="100" w:type="dxa"/>
              <w:bottom w:w="80" w:type="dxa"/>
              <w:right w:w="100" w:type="dxa"/>
            </w:tcMar>
          </w:tcPr>
          <w:p w14:paraId="3C2B3BB9" w14:textId="77777777" w:rsidR="006524AE" w:rsidRDefault="00B13BB0">
            <w:r>
              <w:rPr>
                <w:sz w:val="17"/>
                <w:szCs w:val="17"/>
              </w:rPr>
              <w:t>Build consent-withdrawal + rights-request flow (access, correction, erasure, nomination) with defined SLAs</w:t>
            </w:r>
          </w:p>
        </w:tc>
        <w:tc>
          <w:tcPr>
            <w:tcW w:w="1800" w:type="dxa"/>
            <w:tcMar>
              <w:top w:w="80" w:type="dxa"/>
              <w:left w:w="100" w:type="dxa"/>
              <w:bottom w:w="80" w:type="dxa"/>
              <w:right w:w="100" w:type="dxa"/>
            </w:tcMar>
          </w:tcPr>
          <w:p w14:paraId="619EF109" w14:textId="77777777" w:rsidR="006524AE" w:rsidRDefault="00B13BB0">
            <w:r>
              <w:rPr>
                <w:sz w:val="17"/>
                <w:szCs w:val="17"/>
              </w:rPr>
              <w:t>Product + Engineering</w:t>
            </w:r>
          </w:p>
        </w:tc>
        <w:tc>
          <w:tcPr>
            <w:tcW w:w="1800" w:type="dxa"/>
            <w:tcMar>
              <w:top w:w="80" w:type="dxa"/>
              <w:left w:w="100" w:type="dxa"/>
              <w:bottom w:w="80" w:type="dxa"/>
              <w:right w:w="100" w:type="dxa"/>
            </w:tcMar>
          </w:tcPr>
          <w:p w14:paraId="2991D564" w14:textId="77777777" w:rsidR="006524AE" w:rsidRDefault="00B13BB0">
            <w:r>
              <w:rPr>
                <w:sz w:val="17"/>
                <w:szCs w:val="17"/>
              </w:rPr>
              <w:t>4-6 weeks</w:t>
            </w:r>
          </w:p>
        </w:tc>
        <w:tc>
          <w:tcPr>
            <w:tcW w:w="1220" w:type="dxa"/>
            <w:shd w:val="clear" w:color="auto" w:fill="F8CBCB"/>
            <w:tcMar>
              <w:top w:w="80" w:type="dxa"/>
              <w:left w:w="100" w:type="dxa"/>
              <w:bottom w:w="80" w:type="dxa"/>
              <w:right w:w="100" w:type="dxa"/>
            </w:tcMar>
          </w:tcPr>
          <w:p w14:paraId="5AB41F1D" w14:textId="77777777" w:rsidR="006524AE" w:rsidRDefault="00B13BB0">
            <w:r>
              <w:rPr>
                <w:b/>
                <w:bCs/>
                <w:sz w:val="18"/>
                <w:szCs w:val="18"/>
              </w:rPr>
              <w:t>Critical</w:t>
            </w:r>
          </w:p>
        </w:tc>
      </w:tr>
      <w:tr w:rsidR="006524AE" w14:paraId="4197249E" w14:textId="77777777">
        <w:tblPrEx>
          <w:tblCellMar>
            <w:top w:w="0" w:type="dxa"/>
            <w:bottom w:w="0" w:type="dxa"/>
          </w:tblCellMar>
        </w:tblPrEx>
        <w:tc>
          <w:tcPr>
            <w:tcW w:w="500" w:type="dxa"/>
            <w:tcMar>
              <w:top w:w="80" w:type="dxa"/>
              <w:left w:w="100" w:type="dxa"/>
              <w:bottom w:w="80" w:type="dxa"/>
              <w:right w:w="100" w:type="dxa"/>
            </w:tcMar>
          </w:tcPr>
          <w:p w14:paraId="53D8D5BB" w14:textId="77777777" w:rsidR="006524AE" w:rsidRDefault="00B13BB0">
            <w:pPr>
              <w:jc w:val="center"/>
            </w:pPr>
            <w:r>
              <w:rPr>
                <w:sz w:val="18"/>
                <w:szCs w:val="18"/>
              </w:rPr>
              <w:t>4</w:t>
            </w:r>
          </w:p>
        </w:tc>
        <w:tc>
          <w:tcPr>
            <w:tcW w:w="4200" w:type="dxa"/>
            <w:tcMar>
              <w:top w:w="80" w:type="dxa"/>
              <w:left w:w="100" w:type="dxa"/>
              <w:bottom w:w="80" w:type="dxa"/>
              <w:right w:w="100" w:type="dxa"/>
            </w:tcMar>
          </w:tcPr>
          <w:p w14:paraId="408C565A" w14:textId="77777777" w:rsidR="006524AE" w:rsidRDefault="00B13BB0">
            <w:r>
              <w:rPr>
                <w:sz w:val="17"/>
                <w:szCs w:val="17"/>
              </w:rPr>
              <w:t xml:space="preserve">Draft and rehearse a breach-notification </w:t>
            </w:r>
            <w:proofErr w:type="spellStart"/>
            <w:r>
              <w:rPr>
                <w:sz w:val="17"/>
                <w:szCs w:val="17"/>
              </w:rPr>
              <w:t>runbook</w:t>
            </w:r>
            <w:proofErr w:type="spellEnd"/>
            <w:r>
              <w:rPr>
                <w:sz w:val="17"/>
                <w:szCs w:val="17"/>
              </w:rPr>
              <w:t xml:space="preserve"> (Board + Data Principal notice, 72-hour reporting)</w:t>
            </w:r>
          </w:p>
        </w:tc>
        <w:tc>
          <w:tcPr>
            <w:tcW w:w="1800" w:type="dxa"/>
            <w:tcMar>
              <w:top w:w="80" w:type="dxa"/>
              <w:left w:w="100" w:type="dxa"/>
              <w:bottom w:w="80" w:type="dxa"/>
              <w:right w:w="100" w:type="dxa"/>
            </w:tcMar>
          </w:tcPr>
          <w:p w14:paraId="62D9985B" w14:textId="77777777" w:rsidR="006524AE" w:rsidRDefault="00B13BB0">
            <w:r>
              <w:rPr>
                <w:sz w:val="17"/>
                <w:szCs w:val="17"/>
              </w:rPr>
              <w:t>Security + Legal</w:t>
            </w:r>
          </w:p>
        </w:tc>
        <w:tc>
          <w:tcPr>
            <w:tcW w:w="1800" w:type="dxa"/>
            <w:tcMar>
              <w:top w:w="80" w:type="dxa"/>
              <w:left w:w="100" w:type="dxa"/>
              <w:bottom w:w="80" w:type="dxa"/>
              <w:right w:w="100" w:type="dxa"/>
            </w:tcMar>
          </w:tcPr>
          <w:p w14:paraId="50B6B6D8" w14:textId="77777777" w:rsidR="006524AE" w:rsidRDefault="00B13BB0">
            <w:r>
              <w:rPr>
                <w:sz w:val="17"/>
                <w:szCs w:val="17"/>
              </w:rPr>
              <w:t>3-4 weeks</w:t>
            </w:r>
          </w:p>
        </w:tc>
        <w:tc>
          <w:tcPr>
            <w:tcW w:w="1220" w:type="dxa"/>
            <w:shd w:val="clear" w:color="auto" w:fill="F8CBCB"/>
            <w:tcMar>
              <w:top w:w="80" w:type="dxa"/>
              <w:left w:w="100" w:type="dxa"/>
              <w:bottom w:w="80" w:type="dxa"/>
              <w:right w:w="100" w:type="dxa"/>
            </w:tcMar>
          </w:tcPr>
          <w:p w14:paraId="0C9169DE" w14:textId="77777777" w:rsidR="006524AE" w:rsidRDefault="00B13BB0">
            <w:r>
              <w:rPr>
                <w:b/>
                <w:bCs/>
                <w:sz w:val="18"/>
                <w:szCs w:val="18"/>
              </w:rPr>
              <w:t>Critical</w:t>
            </w:r>
          </w:p>
        </w:tc>
      </w:tr>
      <w:tr w:rsidR="006524AE" w14:paraId="10FCCFB1" w14:textId="77777777">
        <w:tblPrEx>
          <w:tblCellMar>
            <w:top w:w="0" w:type="dxa"/>
            <w:bottom w:w="0" w:type="dxa"/>
          </w:tblCellMar>
        </w:tblPrEx>
        <w:tc>
          <w:tcPr>
            <w:tcW w:w="500" w:type="dxa"/>
            <w:tcMar>
              <w:top w:w="80" w:type="dxa"/>
              <w:left w:w="100" w:type="dxa"/>
              <w:bottom w:w="80" w:type="dxa"/>
              <w:right w:w="100" w:type="dxa"/>
            </w:tcMar>
          </w:tcPr>
          <w:p w14:paraId="5E64995D" w14:textId="77777777" w:rsidR="006524AE" w:rsidRDefault="00B13BB0">
            <w:pPr>
              <w:jc w:val="center"/>
            </w:pPr>
            <w:r>
              <w:rPr>
                <w:sz w:val="18"/>
                <w:szCs w:val="18"/>
              </w:rPr>
              <w:t>5</w:t>
            </w:r>
          </w:p>
        </w:tc>
        <w:tc>
          <w:tcPr>
            <w:tcW w:w="4200" w:type="dxa"/>
            <w:tcMar>
              <w:top w:w="80" w:type="dxa"/>
              <w:left w:w="100" w:type="dxa"/>
              <w:bottom w:w="80" w:type="dxa"/>
              <w:right w:w="100" w:type="dxa"/>
            </w:tcMar>
          </w:tcPr>
          <w:p w14:paraId="545C6810" w14:textId="77777777" w:rsidR="006524AE" w:rsidRDefault="00B13BB0">
            <w:r>
              <w:rPr>
                <w:sz w:val="17"/>
                <w:szCs w:val="17"/>
              </w:rPr>
              <w:t>Implement age-screening + verifiable parental consent for any account that may belong to a minor</w:t>
            </w:r>
          </w:p>
        </w:tc>
        <w:tc>
          <w:tcPr>
            <w:tcW w:w="1800" w:type="dxa"/>
            <w:tcMar>
              <w:top w:w="80" w:type="dxa"/>
              <w:left w:w="100" w:type="dxa"/>
              <w:bottom w:w="80" w:type="dxa"/>
              <w:right w:w="100" w:type="dxa"/>
            </w:tcMar>
          </w:tcPr>
          <w:p w14:paraId="78112180" w14:textId="77777777" w:rsidR="006524AE" w:rsidRDefault="00B13BB0">
            <w:r>
              <w:rPr>
                <w:sz w:val="17"/>
                <w:szCs w:val="17"/>
              </w:rPr>
              <w:t>Product + Engineering</w:t>
            </w:r>
          </w:p>
        </w:tc>
        <w:tc>
          <w:tcPr>
            <w:tcW w:w="1800" w:type="dxa"/>
            <w:tcMar>
              <w:top w:w="80" w:type="dxa"/>
              <w:left w:w="100" w:type="dxa"/>
              <w:bottom w:w="80" w:type="dxa"/>
              <w:right w:w="100" w:type="dxa"/>
            </w:tcMar>
          </w:tcPr>
          <w:p w14:paraId="443F16B9" w14:textId="77777777" w:rsidR="006524AE" w:rsidRDefault="00B13BB0">
            <w:r>
              <w:rPr>
                <w:sz w:val="17"/>
                <w:szCs w:val="17"/>
              </w:rPr>
              <w:t>6-8 weeks</w:t>
            </w:r>
          </w:p>
        </w:tc>
        <w:tc>
          <w:tcPr>
            <w:tcW w:w="1220" w:type="dxa"/>
            <w:shd w:val="clear" w:color="auto" w:fill="F8CBCB"/>
            <w:tcMar>
              <w:top w:w="80" w:type="dxa"/>
              <w:left w:w="100" w:type="dxa"/>
              <w:bottom w:w="80" w:type="dxa"/>
              <w:right w:w="100" w:type="dxa"/>
            </w:tcMar>
          </w:tcPr>
          <w:p w14:paraId="43578E59" w14:textId="77777777" w:rsidR="006524AE" w:rsidRDefault="00B13BB0">
            <w:r>
              <w:rPr>
                <w:b/>
                <w:bCs/>
                <w:sz w:val="18"/>
                <w:szCs w:val="18"/>
              </w:rPr>
              <w:t>Critical</w:t>
            </w:r>
          </w:p>
        </w:tc>
      </w:tr>
      <w:tr w:rsidR="006524AE" w14:paraId="49AD763C" w14:textId="77777777">
        <w:tblPrEx>
          <w:tblCellMar>
            <w:top w:w="0" w:type="dxa"/>
            <w:bottom w:w="0" w:type="dxa"/>
          </w:tblCellMar>
        </w:tblPrEx>
        <w:tc>
          <w:tcPr>
            <w:tcW w:w="500" w:type="dxa"/>
            <w:tcMar>
              <w:top w:w="80" w:type="dxa"/>
              <w:left w:w="100" w:type="dxa"/>
              <w:bottom w:w="80" w:type="dxa"/>
              <w:right w:w="100" w:type="dxa"/>
            </w:tcMar>
          </w:tcPr>
          <w:p w14:paraId="4DB8673B" w14:textId="77777777" w:rsidR="006524AE" w:rsidRDefault="00B13BB0">
            <w:pPr>
              <w:jc w:val="center"/>
            </w:pPr>
            <w:r>
              <w:rPr>
                <w:sz w:val="18"/>
                <w:szCs w:val="18"/>
              </w:rPr>
              <w:t>6</w:t>
            </w:r>
          </w:p>
        </w:tc>
        <w:tc>
          <w:tcPr>
            <w:tcW w:w="4200" w:type="dxa"/>
            <w:tcMar>
              <w:top w:w="80" w:type="dxa"/>
              <w:left w:w="100" w:type="dxa"/>
              <w:bottom w:w="80" w:type="dxa"/>
              <w:right w:w="100" w:type="dxa"/>
            </w:tcMar>
          </w:tcPr>
          <w:p w14:paraId="365D2989" w14:textId="77777777" w:rsidR="006524AE" w:rsidRDefault="00B13BB0">
            <w:r>
              <w:rPr>
                <w:sz w:val="17"/>
                <w:szCs w:val="17"/>
              </w:rPr>
              <w:t>Define and publish sector-specific retention periods and automate erasure triggers</w:t>
            </w:r>
          </w:p>
        </w:tc>
        <w:tc>
          <w:tcPr>
            <w:tcW w:w="1800" w:type="dxa"/>
            <w:tcMar>
              <w:top w:w="80" w:type="dxa"/>
              <w:left w:w="100" w:type="dxa"/>
              <w:bottom w:w="80" w:type="dxa"/>
              <w:right w:w="100" w:type="dxa"/>
            </w:tcMar>
          </w:tcPr>
          <w:p w14:paraId="2F0F4436" w14:textId="77777777" w:rsidR="006524AE" w:rsidRDefault="00B13BB0">
            <w:r>
              <w:rPr>
                <w:sz w:val="17"/>
                <w:szCs w:val="17"/>
              </w:rPr>
              <w:t>Engineering + Legal</w:t>
            </w:r>
          </w:p>
        </w:tc>
        <w:tc>
          <w:tcPr>
            <w:tcW w:w="1800" w:type="dxa"/>
            <w:tcMar>
              <w:top w:w="80" w:type="dxa"/>
              <w:left w:w="100" w:type="dxa"/>
              <w:bottom w:w="80" w:type="dxa"/>
              <w:right w:w="100" w:type="dxa"/>
            </w:tcMar>
          </w:tcPr>
          <w:p w14:paraId="77B8A47B" w14:textId="77777777" w:rsidR="006524AE" w:rsidRDefault="00B13BB0">
            <w:r>
              <w:rPr>
                <w:sz w:val="17"/>
                <w:szCs w:val="17"/>
              </w:rPr>
              <w:t>6-8 weeks</w:t>
            </w:r>
          </w:p>
        </w:tc>
        <w:tc>
          <w:tcPr>
            <w:tcW w:w="1220" w:type="dxa"/>
            <w:shd w:val="clear" w:color="auto" w:fill="FDE7B0"/>
            <w:tcMar>
              <w:top w:w="80" w:type="dxa"/>
              <w:left w:w="100" w:type="dxa"/>
              <w:bottom w:w="80" w:type="dxa"/>
              <w:right w:w="100" w:type="dxa"/>
            </w:tcMar>
          </w:tcPr>
          <w:p w14:paraId="018AECDC" w14:textId="77777777" w:rsidR="006524AE" w:rsidRDefault="00B13BB0">
            <w:r>
              <w:rPr>
                <w:sz w:val="18"/>
                <w:szCs w:val="18"/>
              </w:rPr>
              <w:t>High</w:t>
            </w:r>
          </w:p>
        </w:tc>
      </w:tr>
      <w:tr w:rsidR="006524AE" w14:paraId="69F0573E" w14:textId="77777777">
        <w:tblPrEx>
          <w:tblCellMar>
            <w:top w:w="0" w:type="dxa"/>
            <w:bottom w:w="0" w:type="dxa"/>
          </w:tblCellMar>
        </w:tblPrEx>
        <w:tc>
          <w:tcPr>
            <w:tcW w:w="500" w:type="dxa"/>
            <w:tcMar>
              <w:top w:w="80" w:type="dxa"/>
              <w:left w:w="100" w:type="dxa"/>
              <w:bottom w:w="80" w:type="dxa"/>
              <w:right w:w="100" w:type="dxa"/>
            </w:tcMar>
          </w:tcPr>
          <w:p w14:paraId="1E9DAC20" w14:textId="77777777" w:rsidR="006524AE" w:rsidRDefault="00B13BB0">
            <w:pPr>
              <w:jc w:val="center"/>
            </w:pPr>
            <w:r>
              <w:rPr>
                <w:sz w:val="18"/>
                <w:szCs w:val="18"/>
              </w:rPr>
              <w:t>7</w:t>
            </w:r>
          </w:p>
        </w:tc>
        <w:tc>
          <w:tcPr>
            <w:tcW w:w="4200" w:type="dxa"/>
            <w:tcMar>
              <w:top w:w="80" w:type="dxa"/>
              <w:left w:w="100" w:type="dxa"/>
              <w:bottom w:w="80" w:type="dxa"/>
              <w:right w:w="100" w:type="dxa"/>
            </w:tcMar>
          </w:tcPr>
          <w:p w14:paraId="21E0FBC7" w14:textId="77777777" w:rsidR="006524AE" w:rsidRDefault="00B13BB0">
            <w:r>
              <w:rPr>
                <w:sz w:val="17"/>
                <w:szCs w:val="17"/>
              </w:rPr>
              <w:t>Split the Notice out from the Terms of Use into a standalone, itemised privacy notice</w:t>
            </w:r>
          </w:p>
        </w:tc>
        <w:tc>
          <w:tcPr>
            <w:tcW w:w="1800" w:type="dxa"/>
            <w:tcMar>
              <w:top w:w="80" w:type="dxa"/>
              <w:left w:w="100" w:type="dxa"/>
              <w:bottom w:w="80" w:type="dxa"/>
              <w:right w:w="100" w:type="dxa"/>
            </w:tcMar>
          </w:tcPr>
          <w:p w14:paraId="4F27C4F4" w14:textId="77777777" w:rsidR="006524AE" w:rsidRDefault="00B13BB0">
            <w:r>
              <w:rPr>
                <w:sz w:val="17"/>
                <w:szCs w:val="17"/>
              </w:rPr>
              <w:t>Legal</w:t>
            </w:r>
          </w:p>
        </w:tc>
        <w:tc>
          <w:tcPr>
            <w:tcW w:w="1800" w:type="dxa"/>
            <w:tcMar>
              <w:top w:w="80" w:type="dxa"/>
              <w:left w:w="100" w:type="dxa"/>
              <w:bottom w:w="80" w:type="dxa"/>
              <w:right w:w="100" w:type="dxa"/>
            </w:tcMar>
          </w:tcPr>
          <w:p w14:paraId="43BB9F4E" w14:textId="77777777" w:rsidR="006524AE" w:rsidRDefault="00B13BB0">
            <w:r>
              <w:rPr>
                <w:sz w:val="17"/>
                <w:szCs w:val="17"/>
              </w:rPr>
              <w:t>Quick win — 1-2 weeks</w:t>
            </w:r>
          </w:p>
        </w:tc>
        <w:tc>
          <w:tcPr>
            <w:tcW w:w="1220" w:type="dxa"/>
            <w:shd w:val="clear" w:color="auto" w:fill="FDE7B0"/>
            <w:tcMar>
              <w:top w:w="80" w:type="dxa"/>
              <w:left w:w="100" w:type="dxa"/>
              <w:bottom w:w="80" w:type="dxa"/>
              <w:right w:w="100" w:type="dxa"/>
            </w:tcMar>
          </w:tcPr>
          <w:p w14:paraId="0FDB44F0" w14:textId="77777777" w:rsidR="006524AE" w:rsidRDefault="00B13BB0">
            <w:r>
              <w:rPr>
                <w:sz w:val="18"/>
                <w:szCs w:val="18"/>
              </w:rPr>
              <w:t>High</w:t>
            </w:r>
          </w:p>
        </w:tc>
      </w:tr>
      <w:tr w:rsidR="006524AE" w14:paraId="5E82178E" w14:textId="77777777">
        <w:tblPrEx>
          <w:tblCellMar>
            <w:top w:w="0" w:type="dxa"/>
            <w:bottom w:w="0" w:type="dxa"/>
          </w:tblCellMar>
        </w:tblPrEx>
        <w:tc>
          <w:tcPr>
            <w:tcW w:w="500" w:type="dxa"/>
            <w:tcMar>
              <w:top w:w="80" w:type="dxa"/>
              <w:left w:w="100" w:type="dxa"/>
              <w:bottom w:w="80" w:type="dxa"/>
              <w:right w:w="100" w:type="dxa"/>
            </w:tcMar>
          </w:tcPr>
          <w:p w14:paraId="444FDE3C" w14:textId="77777777" w:rsidR="006524AE" w:rsidRDefault="00B13BB0">
            <w:pPr>
              <w:jc w:val="center"/>
            </w:pPr>
            <w:r>
              <w:rPr>
                <w:sz w:val="18"/>
                <w:szCs w:val="18"/>
              </w:rPr>
              <w:t>8</w:t>
            </w:r>
          </w:p>
        </w:tc>
        <w:tc>
          <w:tcPr>
            <w:tcW w:w="4200" w:type="dxa"/>
            <w:tcMar>
              <w:top w:w="80" w:type="dxa"/>
              <w:left w:w="100" w:type="dxa"/>
              <w:bottom w:w="80" w:type="dxa"/>
              <w:right w:w="100" w:type="dxa"/>
            </w:tcMar>
          </w:tcPr>
          <w:p w14:paraId="470D6F2D" w14:textId="77777777" w:rsidR="006524AE" w:rsidRDefault="00B13BB0">
            <w:r>
              <w:rPr>
                <w:sz w:val="17"/>
                <w:szCs w:val="17"/>
              </w:rPr>
              <w:t>Remove/clarify legacy 'sensitive personal information' (IT Rules 2011) language</w:t>
            </w:r>
          </w:p>
        </w:tc>
        <w:tc>
          <w:tcPr>
            <w:tcW w:w="1800" w:type="dxa"/>
            <w:tcMar>
              <w:top w:w="80" w:type="dxa"/>
              <w:left w:w="100" w:type="dxa"/>
              <w:bottom w:w="80" w:type="dxa"/>
              <w:right w:w="100" w:type="dxa"/>
            </w:tcMar>
          </w:tcPr>
          <w:p w14:paraId="696EE0D8" w14:textId="77777777" w:rsidR="006524AE" w:rsidRDefault="00B13BB0">
            <w:r>
              <w:rPr>
                <w:sz w:val="17"/>
                <w:szCs w:val="17"/>
              </w:rPr>
              <w:t>Legal</w:t>
            </w:r>
          </w:p>
        </w:tc>
        <w:tc>
          <w:tcPr>
            <w:tcW w:w="1800" w:type="dxa"/>
            <w:tcMar>
              <w:top w:w="80" w:type="dxa"/>
              <w:left w:w="100" w:type="dxa"/>
              <w:bottom w:w="80" w:type="dxa"/>
              <w:right w:w="100" w:type="dxa"/>
            </w:tcMar>
          </w:tcPr>
          <w:p w14:paraId="5DB4B3F4" w14:textId="77777777" w:rsidR="006524AE" w:rsidRDefault="00B13BB0">
            <w:r>
              <w:rPr>
                <w:sz w:val="17"/>
                <w:szCs w:val="17"/>
              </w:rPr>
              <w:t>Quick win — 3-5 days</w:t>
            </w:r>
          </w:p>
        </w:tc>
        <w:tc>
          <w:tcPr>
            <w:tcW w:w="1220" w:type="dxa"/>
            <w:tcMar>
              <w:top w:w="80" w:type="dxa"/>
              <w:left w:w="100" w:type="dxa"/>
              <w:bottom w:w="80" w:type="dxa"/>
              <w:right w:w="100" w:type="dxa"/>
            </w:tcMar>
          </w:tcPr>
          <w:p w14:paraId="786890A6" w14:textId="77777777" w:rsidR="006524AE" w:rsidRDefault="00B13BB0">
            <w:r>
              <w:rPr>
                <w:sz w:val="18"/>
                <w:szCs w:val="18"/>
              </w:rPr>
              <w:t>Medium</w:t>
            </w:r>
          </w:p>
        </w:tc>
      </w:tr>
      <w:tr w:rsidR="006524AE" w14:paraId="4DC5DB66" w14:textId="77777777">
        <w:tblPrEx>
          <w:tblCellMar>
            <w:top w:w="0" w:type="dxa"/>
            <w:bottom w:w="0" w:type="dxa"/>
          </w:tblCellMar>
        </w:tblPrEx>
        <w:tc>
          <w:tcPr>
            <w:tcW w:w="500" w:type="dxa"/>
            <w:tcMar>
              <w:top w:w="80" w:type="dxa"/>
              <w:left w:w="100" w:type="dxa"/>
              <w:bottom w:w="80" w:type="dxa"/>
              <w:right w:w="100" w:type="dxa"/>
            </w:tcMar>
          </w:tcPr>
          <w:p w14:paraId="3FCE87F7" w14:textId="77777777" w:rsidR="006524AE" w:rsidRDefault="00B13BB0">
            <w:pPr>
              <w:jc w:val="center"/>
            </w:pPr>
            <w:r>
              <w:rPr>
                <w:sz w:val="18"/>
                <w:szCs w:val="18"/>
              </w:rPr>
              <w:t>9</w:t>
            </w:r>
          </w:p>
        </w:tc>
        <w:tc>
          <w:tcPr>
            <w:tcW w:w="4200" w:type="dxa"/>
            <w:tcMar>
              <w:top w:w="80" w:type="dxa"/>
              <w:left w:w="100" w:type="dxa"/>
              <w:bottom w:w="80" w:type="dxa"/>
              <w:right w:w="100" w:type="dxa"/>
            </w:tcMar>
          </w:tcPr>
          <w:p w14:paraId="7142DF5A" w14:textId="77777777" w:rsidR="006524AE" w:rsidRDefault="00B13BB0">
            <w:r>
              <w:rPr>
                <w:sz w:val="17"/>
                <w:szCs w:val="17"/>
              </w:rPr>
              <w:t>Tighten cross-border transfer clause to reference Section 16 / Rule 15 government conditions</w:t>
            </w:r>
          </w:p>
        </w:tc>
        <w:tc>
          <w:tcPr>
            <w:tcW w:w="1800" w:type="dxa"/>
            <w:tcMar>
              <w:top w:w="80" w:type="dxa"/>
              <w:left w:w="100" w:type="dxa"/>
              <w:bottom w:w="80" w:type="dxa"/>
              <w:right w:w="100" w:type="dxa"/>
            </w:tcMar>
          </w:tcPr>
          <w:p w14:paraId="2D7F6A9F" w14:textId="77777777" w:rsidR="006524AE" w:rsidRDefault="00B13BB0">
            <w:r>
              <w:rPr>
                <w:sz w:val="17"/>
                <w:szCs w:val="17"/>
              </w:rPr>
              <w:t>Legal</w:t>
            </w:r>
          </w:p>
        </w:tc>
        <w:tc>
          <w:tcPr>
            <w:tcW w:w="1800" w:type="dxa"/>
            <w:tcMar>
              <w:top w:w="80" w:type="dxa"/>
              <w:left w:w="100" w:type="dxa"/>
              <w:bottom w:w="80" w:type="dxa"/>
              <w:right w:w="100" w:type="dxa"/>
            </w:tcMar>
          </w:tcPr>
          <w:p w14:paraId="0C2A1109" w14:textId="77777777" w:rsidR="006524AE" w:rsidRDefault="00B13BB0">
            <w:r>
              <w:rPr>
                <w:sz w:val="17"/>
                <w:szCs w:val="17"/>
              </w:rPr>
              <w:t>Quick win — 1 week</w:t>
            </w:r>
          </w:p>
        </w:tc>
        <w:tc>
          <w:tcPr>
            <w:tcW w:w="1220" w:type="dxa"/>
            <w:tcMar>
              <w:top w:w="80" w:type="dxa"/>
              <w:left w:w="100" w:type="dxa"/>
              <w:bottom w:w="80" w:type="dxa"/>
              <w:right w:w="100" w:type="dxa"/>
            </w:tcMar>
          </w:tcPr>
          <w:p w14:paraId="44DC2D62" w14:textId="77777777" w:rsidR="006524AE" w:rsidRDefault="00B13BB0">
            <w:r>
              <w:rPr>
                <w:sz w:val="18"/>
                <w:szCs w:val="18"/>
              </w:rPr>
              <w:t>Medium</w:t>
            </w:r>
          </w:p>
        </w:tc>
      </w:tr>
      <w:tr w:rsidR="006524AE" w14:paraId="0B3866C4" w14:textId="77777777">
        <w:tblPrEx>
          <w:tblCellMar>
            <w:top w:w="0" w:type="dxa"/>
            <w:bottom w:w="0" w:type="dxa"/>
          </w:tblCellMar>
        </w:tblPrEx>
        <w:tc>
          <w:tcPr>
            <w:tcW w:w="500" w:type="dxa"/>
            <w:tcMar>
              <w:top w:w="80" w:type="dxa"/>
              <w:left w:w="100" w:type="dxa"/>
              <w:bottom w:w="80" w:type="dxa"/>
              <w:right w:w="100" w:type="dxa"/>
            </w:tcMar>
          </w:tcPr>
          <w:p w14:paraId="3A7EA6E1" w14:textId="77777777" w:rsidR="006524AE" w:rsidRDefault="00B13BB0">
            <w:pPr>
              <w:jc w:val="center"/>
            </w:pPr>
            <w:r>
              <w:rPr>
                <w:sz w:val="18"/>
                <w:szCs w:val="18"/>
              </w:rPr>
              <w:t>10</w:t>
            </w:r>
          </w:p>
        </w:tc>
        <w:tc>
          <w:tcPr>
            <w:tcW w:w="4200" w:type="dxa"/>
            <w:tcMar>
              <w:top w:w="80" w:type="dxa"/>
              <w:left w:w="100" w:type="dxa"/>
              <w:bottom w:w="80" w:type="dxa"/>
              <w:right w:w="100" w:type="dxa"/>
            </w:tcMar>
          </w:tcPr>
          <w:p w14:paraId="27D4E2E0" w14:textId="77777777" w:rsidR="006524AE" w:rsidRDefault="00B13BB0">
            <w:r>
              <w:rPr>
                <w:sz w:val="17"/>
                <w:szCs w:val="17"/>
              </w:rPr>
              <w:t>Update Processor/vendor contracts to name Rule 6 security-safeguard obligations explicitly</w:t>
            </w:r>
          </w:p>
        </w:tc>
        <w:tc>
          <w:tcPr>
            <w:tcW w:w="1800" w:type="dxa"/>
            <w:tcMar>
              <w:top w:w="80" w:type="dxa"/>
              <w:left w:w="100" w:type="dxa"/>
              <w:bottom w:w="80" w:type="dxa"/>
              <w:right w:w="100" w:type="dxa"/>
            </w:tcMar>
          </w:tcPr>
          <w:p w14:paraId="2D107CC0" w14:textId="77777777" w:rsidR="006524AE" w:rsidRDefault="00B13BB0">
            <w:r>
              <w:rPr>
                <w:sz w:val="17"/>
                <w:szCs w:val="17"/>
              </w:rPr>
              <w:t>Legal + Procurement</w:t>
            </w:r>
          </w:p>
        </w:tc>
        <w:tc>
          <w:tcPr>
            <w:tcW w:w="1800" w:type="dxa"/>
            <w:tcMar>
              <w:top w:w="80" w:type="dxa"/>
              <w:left w:w="100" w:type="dxa"/>
              <w:bottom w:w="80" w:type="dxa"/>
              <w:right w:w="100" w:type="dxa"/>
            </w:tcMar>
          </w:tcPr>
          <w:p w14:paraId="6C8E8F44" w14:textId="77777777" w:rsidR="006524AE" w:rsidRDefault="00B13BB0">
            <w:r>
              <w:rPr>
                <w:sz w:val="17"/>
                <w:szCs w:val="17"/>
              </w:rPr>
              <w:t>4-6 weeks</w:t>
            </w:r>
          </w:p>
        </w:tc>
        <w:tc>
          <w:tcPr>
            <w:tcW w:w="1220" w:type="dxa"/>
            <w:tcMar>
              <w:top w:w="80" w:type="dxa"/>
              <w:left w:w="100" w:type="dxa"/>
              <w:bottom w:w="80" w:type="dxa"/>
              <w:right w:w="100" w:type="dxa"/>
            </w:tcMar>
          </w:tcPr>
          <w:p w14:paraId="341B026A" w14:textId="77777777" w:rsidR="006524AE" w:rsidRDefault="00B13BB0">
            <w:r>
              <w:rPr>
                <w:sz w:val="18"/>
                <w:szCs w:val="18"/>
              </w:rPr>
              <w:t>Medium</w:t>
            </w:r>
          </w:p>
        </w:tc>
      </w:tr>
      <w:tr w:rsidR="006524AE" w14:paraId="0BDFC6D0" w14:textId="77777777">
        <w:tblPrEx>
          <w:tblCellMar>
            <w:top w:w="0" w:type="dxa"/>
            <w:bottom w:w="0" w:type="dxa"/>
          </w:tblCellMar>
        </w:tblPrEx>
        <w:tc>
          <w:tcPr>
            <w:tcW w:w="500" w:type="dxa"/>
            <w:tcMar>
              <w:top w:w="80" w:type="dxa"/>
              <w:left w:w="100" w:type="dxa"/>
              <w:bottom w:w="80" w:type="dxa"/>
              <w:right w:w="100" w:type="dxa"/>
            </w:tcMar>
          </w:tcPr>
          <w:p w14:paraId="0DCB20E8" w14:textId="77777777" w:rsidR="006524AE" w:rsidRDefault="00B13BB0">
            <w:pPr>
              <w:jc w:val="center"/>
            </w:pPr>
            <w:r>
              <w:rPr>
                <w:sz w:val="18"/>
                <w:szCs w:val="18"/>
              </w:rPr>
              <w:t>11</w:t>
            </w:r>
          </w:p>
        </w:tc>
        <w:tc>
          <w:tcPr>
            <w:tcW w:w="4200" w:type="dxa"/>
            <w:tcMar>
              <w:top w:w="80" w:type="dxa"/>
              <w:left w:w="100" w:type="dxa"/>
              <w:bottom w:w="80" w:type="dxa"/>
              <w:right w:w="100" w:type="dxa"/>
            </w:tcMar>
          </w:tcPr>
          <w:p w14:paraId="44BA247F" w14:textId="77777777" w:rsidR="006524AE" w:rsidRDefault="00B13BB0">
            <w:r>
              <w:rPr>
                <w:sz w:val="17"/>
                <w:szCs w:val="17"/>
              </w:rPr>
              <w:t>Clarify data sourced from 'publicly available databases' against the Section 3(c)(ii) exemption</w:t>
            </w:r>
          </w:p>
        </w:tc>
        <w:tc>
          <w:tcPr>
            <w:tcW w:w="1800" w:type="dxa"/>
            <w:tcMar>
              <w:top w:w="80" w:type="dxa"/>
              <w:left w:w="100" w:type="dxa"/>
              <w:bottom w:w="80" w:type="dxa"/>
              <w:right w:w="100" w:type="dxa"/>
            </w:tcMar>
          </w:tcPr>
          <w:p w14:paraId="3416E92A" w14:textId="77777777" w:rsidR="006524AE" w:rsidRDefault="00B13BB0">
            <w:r>
              <w:rPr>
                <w:sz w:val="17"/>
                <w:szCs w:val="17"/>
              </w:rPr>
              <w:t>Legal</w:t>
            </w:r>
          </w:p>
        </w:tc>
        <w:tc>
          <w:tcPr>
            <w:tcW w:w="1800" w:type="dxa"/>
            <w:tcMar>
              <w:top w:w="80" w:type="dxa"/>
              <w:left w:w="100" w:type="dxa"/>
              <w:bottom w:w="80" w:type="dxa"/>
              <w:right w:w="100" w:type="dxa"/>
            </w:tcMar>
          </w:tcPr>
          <w:p w14:paraId="6DFBBF9B" w14:textId="77777777" w:rsidR="006524AE" w:rsidRDefault="00B13BB0">
            <w:r>
              <w:rPr>
                <w:sz w:val="17"/>
                <w:szCs w:val="17"/>
              </w:rPr>
              <w:t>1-2 weeks</w:t>
            </w:r>
          </w:p>
        </w:tc>
        <w:tc>
          <w:tcPr>
            <w:tcW w:w="1220" w:type="dxa"/>
            <w:tcMar>
              <w:top w:w="80" w:type="dxa"/>
              <w:left w:w="100" w:type="dxa"/>
              <w:bottom w:w="80" w:type="dxa"/>
              <w:right w:w="100" w:type="dxa"/>
            </w:tcMar>
          </w:tcPr>
          <w:p w14:paraId="6DF284DB" w14:textId="77777777" w:rsidR="006524AE" w:rsidRDefault="00B13BB0">
            <w:r>
              <w:rPr>
                <w:sz w:val="18"/>
                <w:szCs w:val="18"/>
              </w:rPr>
              <w:t>Medium</w:t>
            </w:r>
          </w:p>
        </w:tc>
      </w:tr>
      <w:tr w:rsidR="006524AE" w14:paraId="4B338D5B" w14:textId="77777777">
        <w:tblPrEx>
          <w:tblCellMar>
            <w:top w:w="0" w:type="dxa"/>
            <w:bottom w:w="0" w:type="dxa"/>
          </w:tblCellMar>
        </w:tblPrEx>
        <w:tc>
          <w:tcPr>
            <w:tcW w:w="500" w:type="dxa"/>
            <w:tcMar>
              <w:top w:w="80" w:type="dxa"/>
              <w:left w:w="100" w:type="dxa"/>
              <w:bottom w:w="80" w:type="dxa"/>
              <w:right w:w="100" w:type="dxa"/>
            </w:tcMar>
          </w:tcPr>
          <w:p w14:paraId="22DAD9C7" w14:textId="77777777" w:rsidR="006524AE" w:rsidRDefault="00B13BB0">
            <w:pPr>
              <w:jc w:val="center"/>
            </w:pPr>
            <w:r>
              <w:rPr>
                <w:sz w:val="18"/>
                <w:szCs w:val="18"/>
              </w:rPr>
              <w:t>12</w:t>
            </w:r>
          </w:p>
        </w:tc>
        <w:tc>
          <w:tcPr>
            <w:tcW w:w="4200" w:type="dxa"/>
            <w:tcMar>
              <w:top w:w="80" w:type="dxa"/>
              <w:left w:w="100" w:type="dxa"/>
              <w:bottom w:w="80" w:type="dxa"/>
              <w:right w:w="100" w:type="dxa"/>
            </w:tcMar>
          </w:tcPr>
          <w:p w14:paraId="40E17452" w14:textId="77777777" w:rsidR="006524AE" w:rsidRDefault="00B13BB0">
            <w:r>
              <w:rPr>
                <w:sz w:val="17"/>
                <w:szCs w:val="17"/>
              </w:rPr>
              <w:t>Clarify which group entity is Data Fiduciary vs Processor for each data flow (</w:t>
            </w:r>
            <w:proofErr w:type="spellStart"/>
            <w:r>
              <w:rPr>
                <w:sz w:val="17"/>
                <w:szCs w:val="17"/>
              </w:rPr>
              <w:t>GlowNest</w:t>
            </w:r>
            <w:proofErr w:type="spellEnd"/>
            <w:r>
              <w:rPr>
                <w:sz w:val="17"/>
                <w:szCs w:val="17"/>
              </w:rPr>
              <w:t xml:space="preserve"> E-Retail / </w:t>
            </w:r>
            <w:proofErr w:type="spellStart"/>
            <w:r>
              <w:rPr>
                <w:sz w:val="17"/>
                <w:szCs w:val="17"/>
              </w:rPr>
              <w:t>BrightCart</w:t>
            </w:r>
            <w:proofErr w:type="spellEnd"/>
            <w:r>
              <w:rPr>
                <w:sz w:val="17"/>
                <w:szCs w:val="17"/>
              </w:rPr>
              <w:t xml:space="preserve"> Fashion / </w:t>
            </w:r>
            <w:proofErr w:type="spellStart"/>
            <w:r>
              <w:rPr>
                <w:sz w:val="17"/>
                <w:szCs w:val="17"/>
              </w:rPr>
              <w:t>Nykd</w:t>
            </w:r>
            <w:proofErr w:type="spellEnd"/>
            <w:r>
              <w:rPr>
                <w:sz w:val="17"/>
                <w:szCs w:val="17"/>
              </w:rPr>
              <w:t xml:space="preserve"> (</w:t>
            </w:r>
            <w:proofErr w:type="spellStart"/>
            <w:r>
              <w:rPr>
                <w:sz w:val="17"/>
                <w:szCs w:val="17"/>
              </w:rPr>
              <w:t>BrightCart</w:t>
            </w:r>
            <w:proofErr w:type="spellEnd"/>
            <w:r>
              <w:rPr>
                <w:sz w:val="17"/>
                <w:szCs w:val="17"/>
              </w:rPr>
              <w:t xml:space="preserve"> Fashion sub-brand))</w:t>
            </w:r>
          </w:p>
        </w:tc>
        <w:tc>
          <w:tcPr>
            <w:tcW w:w="1800" w:type="dxa"/>
            <w:tcMar>
              <w:top w:w="80" w:type="dxa"/>
              <w:left w:w="100" w:type="dxa"/>
              <w:bottom w:w="80" w:type="dxa"/>
              <w:right w:w="100" w:type="dxa"/>
            </w:tcMar>
          </w:tcPr>
          <w:p w14:paraId="24383D24" w14:textId="77777777" w:rsidR="006524AE" w:rsidRDefault="00B13BB0">
            <w:r>
              <w:rPr>
                <w:sz w:val="17"/>
                <w:szCs w:val="17"/>
              </w:rPr>
              <w:t>Legal</w:t>
            </w:r>
          </w:p>
        </w:tc>
        <w:tc>
          <w:tcPr>
            <w:tcW w:w="1800" w:type="dxa"/>
            <w:tcMar>
              <w:top w:w="80" w:type="dxa"/>
              <w:left w:w="100" w:type="dxa"/>
              <w:bottom w:w="80" w:type="dxa"/>
              <w:right w:w="100" w:type="dxa"/>
            </w:tcMar>
          </w:tcPr>
          <w:p w14:paraId="1C8E4F45" w14:textId="77777777" w:rsidR="006524AE" w:rsidRDefault="00B13BB0">
            <w:r>
              <w:rPr>
                <w:sz w:val="17"/>
                <w:szCs w:val="17"/>
              </w:rPr>
              <w:t>3-4 weeks</w:t>
            </w:r>
          </w:p>
        </w:tc>
        <w:tc>
          <w:tcPr>
            <w:tcW w:w="1220" w:type="dxa"/>
            <w:tcMar>
              <w:top w:w="80" w:type="dxa"/>
              <w:left w:w="100" w:type="dxa"/>
              <w:bottom w:w="80" w:type="dxa"/>
              <w:right w:w="100" w:type="dxa"/>
            </w:tcMar>
          </w:tcPr>
          <w:p w14:paraId="1A83BE98" w14:textId="77777777" w:rsidR="006524AE" w:rsidRDefault="00B13BB0">
            <w:r>
              <w:rPr>
                <w:sz w:val="18"/>
                <w:szCs w:val="18"/>
              </w:rPr>
              <w:t>Medium</w:t>
            </w:r>
          </w:p>
        </w:tc>
      </w:tr>
      <w:tr w:rsidR="006524AE" w14:paraId="519813BB" w14:textId="77777777">
        <w:tblPrEx>
          <w:tblCellMar>
            <w:top w:w="0" w:type="dxa"/>
            <w:bottom w:w="0" w:type="dxa"/>
          </w:tblCellMar>
        </w:tblPrEx>
        <w:tc>
          <w:tcPr>
            <w:tcW w:w="500" w:type="dxa"/>
            <w:tcMar>
              <w:top w:w="80" w:type="dxa"/>
              <w:left w:w="100" w:type="dxa"/>
              <w:bottom w:w="80" w:type="dxa"/>
              <w:right w:w="100" w:type="dxa"/>
            </w:tcMar>
          </w:tcPr>
          <w:p w14:paraId="13C2C87C" w14:textId="77777777" w:rsidR="006524AE" w:rsidRDefault="00B13BB0">
            <w:pPr>
              <w:jc w:val="center"/>
            </w:pPr>
            <w:r>
              <w:rPr>
                <w:sz w:val="18"/>
                <w:szCs w:val="18"/>
              </w:rPr>
              <w:t>13</w:t>
            </w:r>
          </w:p>
        </w:tc>
        <w:tc>
          <w:tcPr>
            <w:tcW w:w="4200" w:type="dxa"/>
            <w:tcMar>
              <w:top w:w="80" w:type="dxa"/>
              <w:left w:w="100" w:type="dxa"/>
              <w:bottom w:w="80" w:type="dxa"/>
              <w:right w:w="100" w:type="dxa"/>
            </w:tcMar>
          </w:tcPr>
          <w:p w14:paraId="3291EA28" w14:textId="77777777" w:rsidR="006524AE" w:rsidRDefault="00B13BB0">
            <w:r>
              <w:rPr>
                <w:sz w:val="17"/>
                <w:szCs w:val="17"/>
              </w:rPr>
              <w:t>Determine SDF exposure (user threshold) and pre-stage DPIA/audit process ahead of any designation</w:t>
            </w:r>
          </w:p>
        </w:tc>
        <w:tc>
          <w:tcPr>
            <w:tcW w:w="1800" w:type="dxa"/>
            <w:tcMar>
              <w:top w:w="80" w:type="dxa"/>
              <w:left w:w="100" w:type="dxa"/>
              <w:bottom w:w="80" w:type="dxa"/>
              <w:right w:w="100" w:type="dxa"/>
            </w:tcMar>
          </w:tcPr>
          <w:p w14:paraId="22D0C159" w14:textId="77777777" w:rsidR="006524AE" w:rsidRDefault="00B13BB0">
            <w:r>
              <w:rPr>
                <w:sz w:val="17"/>
                <w:szCs w:val="17"/>
              </w:rPr>
              <w:t>Legal + Security</w:t>
            </w:r>
          </w:p>
        </w:tc>
        <w:tc>
          <w:tcPr>
            <w:tcW w:w="1800" w:type="dxa"/>
            <w:tcMar>
              <w:top w:w="80" w:type="dxa"/>
              <w:left w:w="100" w:type="dxa"/>
              <w:bottom w:w="80" w:type="dxa"/>
              <w:right w:w="100" w:type="dxa"/>
            </w:tcMar>
          </w:tcPr>
          <w:p w14:paraId="3D962B61" w14:textId="77777777" w:rsidR="006524AE" w:rsidRDefault="00B13BB0">
            <w:r>
              <w:rPr>
                <w:sz w:val="17"/>
                <w:szCs w:val="17"/>
              </w:rPr>
              <w:t>Ongoing — monitor</w:t>
            </w:r>
          </w:p>
        </w:tc>
        <w:tc>
          <w:tcPr>
            <w:tcW w:w="1220" w:type="dxa"/>
            <w:tcMar>
              <w:top w:w="80" w:type="dxa"/>
              <w:left w:w="100" w:type="dxa"/>
              <w:bottom w:w="80" w:type="dxa"/>
              <w:right w:w="100" w:type="dxa"/>
            </w:tcMar>
          </w:tcPr>
          <w:p w14:paraId="450AFCFB" w14:textId="77777777" w:rsidR="006524AE" w:rsidRDefault="00B13BB0">
            <w:r>
              <w:rPr>
                <w:sz w:val="18"/>
                <w:szCs w:val="18"/>
              </w:rPr>
              <w:t>Watch</w:t>
            </w:r>
          </w:p>
        </w:tc>
      </w:tr>
    </w:tbl>
    <w:p w14:paraId="5239D203" w14:textId="77777777" w:rsidR="006524AE" w:rsidRDefault="00B13BB0">
      <w:pPr>
        <w:pStyle w:val="Heading1"/>
        <w:spacing w:before="300" w:after="150"/>
      </w:pPr>
      <w:r>
        <w:t>5. Source Verification &amp; Effective-Date Notes</w:t>
      </w:r>
    </w:p>
    <w:p w14:paraId="0F3A9835" w14:textId="324830CF" w:rsidR="006524AE" w:rsidRDefault="00B13BB0">
      <w:pPr>
        <w:spacing w:after="120"/>
      </w:pPr>
      <w:r>
        <w:t xml:space="preserve">The following confirms how rule citations in this report were sourced and clarifies enforcement timing </w:t>
      </w:r>
      <w:r>
        <w:t>included so the reader can independently trace every claim rather than take it on faith.</w:t>
      </w:r>
    </w:p>
    <w:p w14:paraId="55EDD7EF" w14:textId="77777777" w:rsidR="006524AE" w:rsidRDefault="00B13BB0">
      <w:pPr>
        <w:pStyle w:val="ListParagraph"/>
        <w:numPr>
          <w:ilvl w:val="0"/>
          <w:numId w:val="1"/>
        </w:numPr>
        <w:spacing w:after="80"/>
      </w:pPr>
      <w:r>
        <w:t>Rule numbering (Rules 3, 6, 7, 8, 10, 13, 14, 15) is drawn from multiple independent secondary sources reporting on the DPDP Rules, 2025 notification of 14 November 2025, cross-checked for consistency across sources. Exact sub-clause numbering (e.g. within Rule 3 or Rule 7) was not verified against the primary Gazette PDF and should be confirmed before this analysis is cited in a formal submission.</w:t>
      </w:r>
    </w:p>
    <w:p w14:paraId="2081CBE2" w14:textId="1186D7B5" w:rsidR="006524AE" w:rsidRDefault="00B13BB0">
      <w:pPr>
        <w:pStyle w:val="ListParagraph"/>
        <w:numPr>
          <w:ilvl w:val="0"/>
          <w:numId w:val="1"/>
        </w:numPr>
        <w:spacing w:after="80"/>
      </w:pPr>
      <w:r>
        <w:t xml:space="preserve">Effective-date status: Rules 1, 2 and 17-21 are in force now. Rule 4 (Consent Manager registration) activates 13 November 2026. The remaining substantive rules (3, 5-16, 22-23) </w:t>
      </w:r>
      <w:r>
        <w:t xml:space="preserve"> covering notice, security, breach notification, retention, and rights </w:t>
      </w:r>
      <w:r>
        <w:t xml:space="preserve"> activate 13 May 2027. Findings above are flagged 'must be ready for' rather than 'currently in breach of', except where the underlying obligation already exists directly under Sections 6, 8, 9 and 11-14 of the DPDP Act.</w:t>
      </w:r>
    </w:p>
    <w:p w14:paraId="2E7771B2" w14:textId="77777777" w:rsidR="006524AE" w:rsidRDefault="00B13BB0">
      <w:pPr>
        <w:pStyle w:val="ListParagraph"/>
        <w:numPr>
          <w:ilvl w:val="0"/>
          <w:numId w:val="1"/>
        </w:numPr>
        <w:spacing w:after="80"/>
      </w:pPr>
      <w:r>
        <w:t xml:space="preserve">Significant Data Fiduciary (SDF) status for </w:t>
      </w:r>
      <w:proofErr w:type="spellStart"/>
      <w:r>
        <w:t>GlowNest</w:t>
      </w:r>
      <w:proofErr w:type="spellEnd"/>
      <w:r>
        <w:t xml:space="preserve"> has not been publicly confirmed; Rows 6, 10 and 12 would move from Amber/Watch to Critical if and when an SDF designation is issued.</w:t>
      </w:r>
    </w:p>
    <w:p w14:paraId="37519647" w14:textId="77777777" w:rsidR="006524AE" w:rsidRDefault="00B13BB0">
      <w:pPr>
        <w:spacing w:after="120"/>
      </w:pPr>
      <w:r>
        <w:rPr>
          <w:b/>
          <w:bCs/>
        </w:rPr>
        <w:t>A qualified Indian data protection professional should sign off on rule citations and any wording taken from this report before it is used in a client-facing or regulatory context.</w:t>
      </w:r>
    </w:p>
    <w:p w14:paraId="4FFEE8C0" w14:textId="77777777" w:rsidR="006524AE" w:rsidRDefault="00B13BB0">
      <w:pPr>
        <w:pStyle w:val="Heading1"/>
        <w:spacing w:before="300" w:after="150"/>
      </w:pPr>
      <w:r>
        <w:t>6. Re-Run Cadence</w:t>
      </w:r>
    </w:p>
    <w:p w14:paraId="0133E81E" w14:textId="77777777" w:rsidR="006524AE" w:rsidRDefault="00B13BB0">
      <w:pPr>
        <w:pStyle w:val="ListParagraph"/>
        <w:numPr>
          <w:ilvl w:val="0"/>
          <w:numId w:val="1"/>
        </w:numPr>
        <w:spacing w:after="80"/>
      </w:pPr>
      <w:r>
        <w:t xml:space="preserve">After any major product change that touches data collection (new SDK, new feature using </w:t>
      </w:r>
      <w:proofErr w:type="spellStart"/>
      <w:r>
        <w:t>SkinScan</w:t>
      </w:r>
      <w:proofErr w:type="spellEnd"/>
      <w:r>
        <w:t>-type biometric/health-adjacent data, new international market).</w:t>
      </w:r>
    </w:p>
    <w:p w14:paraId="3F5C7C9F" w14:textId="77777777" w:rsidR="006524AE" w:rsidRDefault="00B13BB0">
      <w:pPr>
        <w:pStyle w:val="ListParagraph"/>
        <w:numPr>
          <w:ilvl w:val="0"/>
          <w:numId w:val="1"/>
        </w:numPr>
        <w:spacing w:after="80"/>
      </w:pPr>
      <w:r>
        <w:t>At least once every 12 months regardless of product changes.</w:t>
      </w:r>
    </w:p>
    <w:p w14:paraId="5A25C2AB" w14:textId="7D0DF21F" w:rsidR="006524AE" w:rsidRDefault="00B13BB0">
      <w:pPr>
        <w:pStyle w:val="ListParagraph"/>
        <w:numPr>
          <w:ilvl w:val="0"/>
          <w:numId w:val="1"/>
        </w:numPr>
        <w:spacing w:after="80"/>
      </w:pPr>
      <w:r>
        <w:t xml:space="preserve">Whenever the Government issues a new notification </w:t>
      </w:r>
      <w:r>
        <w:t xml:space="preserve"> restricted-country lists under Rule 15, SDF designations under Rule 13, or localisation requirements for 'specified personal data' under Rule 13(4).</w:t>
      </w:r>
    </w:p>
    <w:sectPr w:rsidR="006524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8400A"/>
    <w:multiLevelType w:val="hybridMultilevel"/>
    <w:tmpl w:val="FFFFFFFF"/>
    <w:lvl w:ilvl="0" w:tplc="E19800BE">
      <w:start w:val="1"/>
      <w:numFmt w:val="bullet"/>
      <w:lvlText w:val="●"/>
      <w:lvlJc w:val="left"/>
      <w:pPr>
        <w:ind w:left="720" w:hanging="360"/>
      </w:pPr>
    </w:lvl>
    <w:lvl w:ilvl="1" w:tplc="E274225A">
      <w:start w:val="1"/>
      <w:numFmt w:val="bullet"/>
      <w:lvlText w:val="○"/>
      <w:lvlJc w:val="left"/>
      <w:pPr>
        <w:ind w:left="1440" w:hanging="360"/>
      </w:pPr>
    </w:lvl>
    <w:lvl w:ilvl="2" w:tplc="371EDAE6">
      <w:start w:val="1"/>
      <w:numFmt w:val="bullet"/>
      <w:lvlText w:val="■"/>
      <w:lvlJc w:val="left"/>
      <w:pPr>
        <w:ind w:left="2160" w:hanging="360"/>
      </w:pPr>
    </w:lvl>
    <w:lvl w:ilvl="3" w:tplc="27180870">
      <w:start w:val="1"/>
      <w:numFmt w:val="bullet"/>
      <w:lvlText w:val="●"/>
      <w:lvlJc w:val="left"/>
      <w:pPr>
        <w:ind w:left="2880" w:hanging="360"/>
      </w:pPr>
    </w:lvl>
    <w:lvl w:ilvl="4" w:tplc="0FB0377E">
      <w:start w:val="1"/>
      <w:numFmt w:val="bullet"/>
      <w:lvlText w:val="○"/>
      <w:lvlJc w:val="left"/>
      <w:pPr>
        <w:ind w:left="3600" w:hanging="360"/>
      </w:pPr>
    </w:lvl>
    <w:lvl w:ilvl="5" w:tplc="54A6B668">
      <w:start w:val="1"/>
      <w:numFmt w:val="bullet"/>
      <w:lvlText w:val="■"/>
      <w:lvlJc w:val="left"/>
      <w:pPr>
        <w:ind w:left="4320" w:hanging="360"/>
      </w:pPr>
    </w:lvl>
    <w:lvl w:ilvl="6" w:tplc="59603210">
      <w:start w:val="1"/>
      <w:numFmt w:val="bullet"/>
      <w:lvlText w:val="●"/>
      <w:lvlJc w:val="left"/>
      <w:pPr>
        <w:ind w:left="5040" w:hanging="360"/>
      </w:pPr>
    </w:lvl>
    <w:lvl w:ilvl="7" w:tplc="0186DF38">
      <w:start w:val="1"/>
      <w:numFmt w:val="bullet"/>
      <w:lvlText w:val="●"/>
      <w:lvlJc w:val="left"/>
      <w:pPr>
        <w:ind w:left="5760" w:hanging="360"/>
      </w:pPr>
    </w:lvl>
    <w:lvl w:ilvl="8" w:tplc="F5649126">
      <w:start w:val="1"/>
      <w:numFmt w:val="bullet"/>
      <w:lvlText w:val="●"/>
      <w:lvlJc w:val="left"/>
      <w:pPr>
        <w:ind w:left="6480" w:hanging="360"/>
      </w:pPr>
    </w:lvl>
  </w:abstractNum>
  <w:num w:numId="1" w16cid:durableId="144468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4AE"/>
    <w:rsid w:val="0011269A"/>
    <w:rsid w:val="001E6520"/>
    <w:rsid w:val="002755B0"/>
    <w:rsid w:val="006524AE"/>
    <w:rsid w:val="00724F6A"/>
    <w:rsid w:val="007E3C12"/>
    <w:rsid w:val="008E5458"/>
    <w:rsid w:val="00B13BB0"/>
    <w:rsid w:val="00D86ECF"/>
    <w:rsid w:val="00DC26E3"/>
    <w:rsid w:val="00DF461C"/>
    <w:rsid w:val="00E506C8"/>
    <w:rsid w:val="00EB4488"/>
    <w:rsid w:val="00F57A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C2379A"/>
  <w15:docId w15:val="{58063D35-1BF9-8949-9810-D19EB6AC8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3043</Words>
  <Characters>17348</Characters>
  <Application>Microsoft Office Word</Application>
  <DocSecurity>0</DocSecurity>
  <Lines>144</Lines>
  <Paragraphs>40</Paragraphs>
  <ScaleCrop>false</ScaleCrop>
  <Company/>
  <LinksUpToDate>false</LinksUpToDate>
  <CharactersWithSpaces>20351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Meenu A J</cp:lastModifiedBy>
  <cp:revision>2</cp:revision>
  <dcterms:created xsi:type="dcterms:W3CDTF">2026-07-08T19:29:00Z</dcterms:created>
  <dcterms:modified xsi:type="dcterms:W3CDTF">2026-07-08T19:29:00Z</dcterms:modified>
</cp:coreProperties>
</file>