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796E4" w14:textId="6C2520B7" w:rsidR="00A9653A" w:rsidRPr="00013DE5" w:rsidRDefault="009838D4" w:rsidP="00A9653A">
      <w:pPr>
        <w:snapToGrid w:val="0"/>
        <w:spacing w:afterLines="50" w:after="156" w:line="480" w:lineRule="auto"/>
        <w:jc w:val="center"/>
        <w:rPr>
          <w:rFonts w:ascii="Calibri" w:hAnsi="Calibri" w:cs="Calibri"/>
          <w:b/>
          <w:bCs/>
          <w:sz w:val="22"/>
        </w:rPr>
      </w:pPr>
      <w:r>
        <w:rPr>
          <w:rFonts w:ascii="Calibri" w:hAnsi="Calibri" w:cs="Calibri"/>
          <w:b/>
          <w:bCs/>
          <w:sz w:val="28"/>
          <w:szCs w:val="28"/>
        </w:rPr>
        <w:fldChar w:fldCharType="begin"/>
      </w:r>
      <w:r>
        <w:rPr>
          <w:rFonts w:ascii="Calibri" w:hAnsi="Calibri" w:cs="Calibri"/>
          <w:b/>
          <w:bCs/>
          <w:sz w:val="28"/>
          <w:szCs w:val="28"/>
        </w:rPr>
        <w:instrText xml:space="preserve"> MACROBUTTON MTEditEquationSection2 </w:instrText>
      </w:r>
      <w:r w:rsidRPr="009838D4">
        <w:rPr>
          <w:rStyle w:val="MTEquationSection"/>
          <w:rFonts w:hint="eastAsia"/>
        </w:rPr>
        <w:instrText>公式章</w:instrText>
      </w:r>
      <w:r w:rsidRPr="009838D4">
        <w:rPr>
          <w:rStyle w:val="MTEquationSection"/>
          <w:rFonts w:hint="eastAsia"/>
        </w:rPr>
        <w:instrText xml:space="preserve"> 1 </w:instrText>
      </w:r>
      <w:r w:rsidRPr="009838D4">
        <w:rPr>
          <w:rStyle w:val="MTEquationSection"/>
          <w:rFonts w:hint="eastAsia"/>
        </w:rPr>
        <w:instrText>节</w:instrText>
      </w:r>
      <w:r w:rsidRPr="009838D4">
        <w:rPr>
          <w:rStyle w:val="MTEquationSection"/>
          <w:rFonts w:hint="eastAsia"/>
        </w:rPr>
        <w:instrText xml:space="preserve"> 1</w:instrText>
      </w:r>
      <w:r>
        <w:rPr>
          <w:rFonts w:ascii="Calibri" w:hAnsi="Calibri" w:cs="Calibri"/>
          <w:b/>
          <w:bCs/>
          <w:sz w:val="28"/>
          <w:szCs w:val="28"/>
        </w:rPr>
        <w:fldChar w:fldCharType="begin"/>
      </w:r>
      <w:r>
        <w:rPr>
          <w:rFonts w:ascii="Calibri" w:hAnsi="Calibri" w:cs="Calibri"/>
          <w:b/>
          <w:bCs/>
          <w:sz w:val="28"/>
          <w:szCs w:val="28"/>
        </w:rPr>
        <w:instrText xml:space="preserve"> </w:instrText>
      </w:r>
      <w:r>
        <w:rPr>
          <w:rFonts w:ascii="Calibri" w:hAnsi="Calibri" w:cs="Calibri" w:hint="eastAsia"/>
          <w:b/>
          <w:bCs/>
          <w:sz w:val="28"/>
          <w:szCs w:val="28"/>
        </w:rPr>
        <w:instrText>SEQ MTEqn \r \h \* MERGEFORMAT</w:instrText>
      </w:r>
      <w:r>
        <w:rPr>
          <w:rFonts w:ascii="Calibri" w:hAnsi="Calibri" w:cs="Calibri"/>
          <w:b/>
          <w:bCs/>
          <w:sz w:val="28"/>
          <w:szCs w:val="28"/>
        </w:rPr>
        <w:instrText xml:space="preserve"> </w:instrText>
      </w:r>
      <w:r>
        <w:rPr>
          <w:rFonts w:ascii="Calibri" w:hAnsi="Calibri" w:cs="Calibri"/>
          <w:b/>
          <w:bCs/>
          <w:sz w:val="28"/>
          <w:szCs w:val="28"/>
        </w:rPr>
        <w:fldChar w:fldCharType="end"/>
      </w:r>
      <w:r>
        <w:rPr>
          <w:rFonts w:ascii="Calibri" w:hAnsi="Calibri" w:cs="Calibri"/>
          <w:b/>
          <w:bCs/>
          <w:sz w:val="28"/>
          <w:szCs w:val="28"/>
        </w:rPr>
        <w:fldChar w:fldCharType="begin"/>
      </w:r>
      <w:r>
        <w:rPr>
          <w:rFonts w:ascii="Calibri" w:hAnsi="Calibri" w:cs="Calibri"/>
          <w:b/>
          <w:bCs/>
          <w:sz w:val="28"/>
          <w:szCs w:val="28"/>
        </w:rPr>
        <w:instrText xml:space="preserve"> SEQ MTSec \r 1 \h \* MERGEFORMAT </w:instrText>
      </w:r>
      <w:r>
        <w:rPr>
          <w:rFonts w:ascii="Calibri" w:hAnsi="Calibri" w:cs="Calibri"/>
          <w:b/>
          <w:bCs/>
          <w:sz w:val="28"/>
          <w:szCs w:val="28"/>
        </w:rPr>
        <w:fldChar w:fldCharType="end"/>
      </w:r>
      <w:r>
        <w:rPr>
          <w:rFonts w:ascii="Calibri" w:hAnsi="Calibri" w:cs="Calibri"/>
          <w:b/>
          <w:bCs/>
          <w:sz w:val="28"/>
          <w:szCs w:val="28"/>
        </w:rPr>
        <w:fldChar w:fldCharType="begin"/>
      </w:r>
      <w:r>
        <w:rPr>
          <w:rFonts w:ascii="Calibri" w:hAnsi="Calibri" w:cs="Calibri"/>
          <w:b/>
          <w:bCs/>
          <w:sz w:val="28"/>
          <w:szCs w:val="28"/>
        </w:rPr>
        <w:instrText xml:space="preserve"> SEQ MTChap \r 1 \h \* MERGEFORMAT </w:instrText>
      </w:r>
      <w:r>
        <w:rPr>
          <w:rFonts w:ascii="Calibri" w:hAnsi="Calibri" w:cs="Calibri"/>
          <w:b/>
          <w:bCs/>
          <w:sz w:val="28"/>
          <w:szCs w:val="28"/>
        </w:rPr>
        <w:fldChar w:fldCharType="end"/>
      </w:r>
      <w:r>
        <w:rPr>
          <w:rFonts w:ascii="Calibri" w:hAnsi="Calibri" w:cs="Calibri"/>
          <w:b/>
          <w:bCs/>
          <w:sz w:val="28"/>
          <w:szCs w:val="28"/>
        </w:rPr>
        <w:fldChar w:fldCharType="end"/>
      </w:r>
      <w:r w:rsidR="00A9653A" w:rsidRPr="00A9653A">
        <w:rPr>
          <w:rFonts w:ascii="Calibri" w:hAnsi="Calibri" w:cs="Calibri"/>
          <w:b/>
          <w:bCs/>
          <w:sz w:val="22"/>
        </w:rPr>
        <w:t xml:space="preserve"> </w:t>
      </w:r>
      <w:r w:rsidR="00A9653A" w:rsidRPr="00013DE5">
        <w:rPr>
          <w:rFonts w:ascii="Calibri" w:hAnsi="Calibri" w:cs="Calibri"/>
          <w:b/>
          <w:bCs/>
          <w:sz w:val="22"/>
        </w:rPr>
        <w:t>Hydraulic Erosion and Sidewall Failure during Overtopping of a Cohesive Embankment: A Large-Scale Experiment</w:t>
      </w:r>
    </w:p>
    <w:p w14:paraId="22346C57" w14:textId="77777777" w:rsidR="00A9653A" w:rsidRPr="00013DE5" w:rsidRDefault="00A9653A" w:rsidP="00A9653A">
      <w:pPr>
        <w:spacing w:before="120" w:afterLines="50" w:after="156" w:line="480" w:lineRule="auto"/>
        <w:jc w:val="center"/>
        <w:rPr>
          <w:rFonts w:ascii="Calibri" w:hAnsi="Calibri" w:cs="Calibri"/>
          <w:bCs/>
          <w:sz w:val="22"/>
        </w:rPr>
      </w:pPr>
      <w:r w:rsidRPr="00013DE5">
        <w:rPr>
          <w:rFonts w:ascii="Calibri" w:eastAsia="Times New Roman" w:hAnsi="Calibri" w:cs="Calibri"/>
          <w:bCs/>
          <w:sz w:val="22"/>
          <w:lang w:eastAsia="en-US"/>
        </w:rPr>
        <w:t>Meiman Zhang¹, Xu Yang², Jianjian Cui³, Xuan Huang⁴, Jianjun Han⁵, Jiang Qian⁶, Han Chen⁷, Jierong Chen⁸, Jin Xu⁹, Hai Zhu¹⁰, and Lingling Wang¹¹</w:t>
      </w:r>
    </w:p>
    <w:p w14:paraId="738862F7" w14:textId="2651E3DB" w:rsidR="00FD25C2" w:rsidRPr="005923CB" w:rsidRDefault="00FD25C2" w:rsidP="00FD25C2">
      <w:pPr>
        <w:rPr>
          <w:rFonts w:ascii="Calibri" w:hAnsi="Calibri" w:cs="Calibri"/>
          <w:b/>
          <w:bCs/>
          <w:color w:val="000000" w:themeColor="text1"/>
          <w:sz w:val="28"/>
          <w:szCs w:val="28"/>
        </w:rPr>
      </w:pPr>
      <w:r w:rsidRPr="005923CB">
        <w:rPr>
          <w:rFonts w:ascii="Calibri" w:hAnsi="Calibri" w:cs="Calibri"/>
          <w:b/>
          <w:bCs/>
          <w:color w:val="000000" w:themeColor="text1"/>
          <w:sz w:val="28"/>
          <w:szCs w:val="28"/>
        </w:rPr>
        <w:t>Contents of this file:</w:t>
      </w:r>
    </w:p>
    <w:p w14:paraId="0E5AF112" w14:textId="77777777" w:rsidR="00B76874" w:rsidRDefault="00B76874" w:rsidP="00B76874">
      <w:pPr>
        <w:rPr>
          <w:rFonts w:ascii="Calibri" w:hAnsi="Calibri" w:cs="Calibri"/>
          <w:b/>
          <w:bCs/>
          <w:color w:val="000000" w:themeColor="text1"/>
          <w:sz w:val="22"/>
        </w:rPr>
      </w:pPr>
      <w:r w:rsidRPr="00B76874">
        <w:rPr>
          <w:rFonts w:ascii="Calibri" w:hAnsi="Calibri" w:cs="Calibri" w:hint="eastAsia"/>
          <w:b/>
          <w:bCs/>
          <w:color w:val="000000" w:themeColor="text1"/>
          <w:sz w:val="22"/>
        </w:rPr>
        <w:t>- Text S1. Study area</w:t>
      </w:r>
    </w:p>
    <w:p w14:paraId="248DF238" w14:textId="2A4F8384" w:rsidR="00DA18A9" w:rsidRPr="00B76874" w:rsidRDefault="00DA18A9" w:rsidP="00B76874">
      <w:pPr>
        <w:rPr>
          <w:rFonts w:ascii="Calibri" w:hAnsi="Calibri" w:cs="Calibri"/>
          <w:b/>
          <w:bCs/>
          <w:color w:val="000000" w:themeColor="text1"/>
          <w:sz w:val="22"/>
        </w:rPr>
      </w:pPr>
      <w:r w:rsidRPr="00B76874">
        <w:rPr>
          <w:rFonts w:ascii="Calibri" w:hAnsi="Calibri" w:cs="Calibri" w:hint="eastAsia"/>
          <w:b/>
          <w:bCs/>
          <w:color w:val="000000" w:themeColor="text1"/>
          <w:sz w:val="22"/>
        </w:rPr>
        <w:t xml:space="preserve">- </w:t>
      </w:r>
      <w:r w:rsidRPr="00DA18A9">
        <w:rPr>
          <w:rFonts w:ascii="Calibri" w:hAnsi="Calibri" w:cs="Calibri" w:hint="eastAsia"/>
          <w:b/>
          <w:bCs/>
          <w:color w:val="000000" w:themeColor="text1"/>
          <w:sz w:val="22"/>
        </w:rPr>
        <w:t>Text S2. Derivation and processing of hydraulic and erosion variables</w:t>
      </w:r>
    </w:p>
    <w:p w14:paraId="51DEF496" w14:textId="77777777" w:rsidR="00B76874" w:rsidRPr="00B76874" w:rsidRDefault="00B76874" w:rsidP="00B76874">
      <w:pPr>
        <w:rPr>
          <w:rFonts w:ascii="Calibri" w:hAnsi="Calibri" w:cs="Calibri"/>
          <w:b/>
          <w:bCs/>
          <w:color w:val="000000" w:themeColor="text1"/>
          <w:sz w:val="22"/>
        </w:rPr>
      </w:pPr>
      <w:r w:rsidRPr="00B76874">
        <w:rPr>
          <w:rFonts w:ascii="Calibri" w:hAnsi="Calibri" w:cs="Calibri" w:hint="eastAsia"/>
          <w:b/>
          <w:bCs/>
          <w:color w:val="000000" w:themeColor="text1"/>
          <w:sz w:val="22"/>
        </w:rPr>
        <w:t>- Figure S1. Location and geographical setting of the Yaotan Polder breach</w:t>
      </w:r>
    </w:p>
    <w:p w14:paraId="715A0F68" w14:textId="77777777" w:rsidR="00B76874" w:rsidRPr="00B76874" w:rsidRDefault="00B76874" w:rsidP="00B76874">
      <w:pPr>
        <w:rPr>
          <w:rFonts w:ascii="Calibri" w:hAnsi="Calibri" w:cs="Calibri"/>
          <w:b/>
          <w:bCs/>
          <w:color w:val="000000" w:themeColor="text1"/>
          <w:sz w:val="22"/>
        </w:rPr>
      </w:pPr>
      <w:r w:rsidRPr="00B76874">
        <w:rPr>
          <w:rFonts w:ascii="Calibri" w:hAnsi="Calibri" w:cs="Calibri" w:hint="eastAsia"/>
          <w:b/>
          <w:bCs/>
          <w:color w:val="000000" w:themeColor="text1"/>
          <w:sz w:val="22"/>
        </w:rPr>
        <w:t>- Figure S2. Laboratory apparatus used for geotechnical characterization</w:t>
      </w:r>
    </w:p>
    <w:p w14:paraId="270DFEB8" w14:textId="77777777" w:rsidR="00B76874" w:rsidRPr="00B76874" w:rsidRDefault="00B76874" w:rsidP="00B76874">
      <w:pPr>
        <w:rPr>
          <w:rFonts w:ascii="Calibri" w:hAnsi="Calibri" w:cs="Calibri"/>
          <w:b/>
          <w:bCs/>
          <w:color w:val="000000" w:themeColor="text1"/>
          <w:sz w:val="22"/>
        </w:rPr>
      </w:pPr>
      <w:r w:rsidRPr="00B76874">
        <w:rPr>
          <w:rFonts w:ascii="Calibri" w:hAnsi="Calibri" w:cs="Calibri" w:hint="eastAsia"/>
          <w:b/>
          <w:bCs/>
          <w:color w:val="000000" w:themeColor="text1"/>
          <w:sz w:val="22"/>
        </w:rPr>
        <w:t>- Figure S3. UAV platforms and assigned observation tasks</w:t>
      </w:r>
    </w:p>
    <w:p w14:paraId="208FCCD9" w14:textId="5EF1AF16" w:rsidR="00FD25C2" w:rsidRPr="005923CB" w:rsidRDefault="00B76874" w:rsidP="00B76874">
      <w:pPr>
        <w:rPr>
          <w:rFonts w:ascii="Calibri" w:hAnsi="Calibri" w:cs="Calibri"/>
          <w:b/>
          <w:bCs/>
          <w:color w:val="000000" w:themeColor="text1"/>
          <w:sz w:val="22"/>
        </w:rPr>
      </w:pPr>
      <w:r w:rsidRPr="00B76874">
        <w:rPr>
          <w:rFonts w:ascii="Calibri" w:hAnsi="Calibri" w:cs="Calibri" w:hint="eastAsia"/>
          <w:b/>
          <w:bCs/>
          <w:color w:val="000000" w:themeColor="text1"/>
          <w:sz w:val="22"/>
        </w:rPr>
        <w:t>- Figure S4. Oblique UAV acquisition and SfM photogrammetric reconstruction workflow</w:t>
      </w:r>
    </w:p>
    <w:p w14:paraId="2CF27638" w14:textId="6CADFE49" w:rsidR="00504756" w:rsidRPr="005923CB" w:rsidRDefault="00FD25C2" w:rsidP="00504756">
      <w:pPr>
        <w:pStyle w:val="Text"/>
        <w:spacing w:line="360" w:lineRule="auto"/>
        <w:ind w:firstLine="0"/>
        <w:jc w:val="both"/>
        <w:rPr>
          <w:rFonts w:ascii="Calibri" w:eastAsia="宋体" w:hAnsi="Calibri" w:cs="Calibri"/>
          <w:b/>
          <w:bCs/>
          <w:color w:val="000000" w:themeColor="text1"/>
          <w:sz w:val="22"/>
          <w:szCs w:val="22"/>
          <w:lang w:eastAsia="zh-CN"/>
        </w:rPr>
      </w:pPr>
      <w:r w:rsidRPr="005923CB">
        <w:rPr>
          <w:rFonts w:ascii="Calibri" w:eastAsia="宋体" w:hAnsi="Calibri" w:cs="Calibri"/>
          <w:b/>
          <w:bCs/>
          <w:color w:val="000000" w:themeColor="text1"/>
          <w:sz w:val="22"/>
          <w:szCs w:val="22"/>
          <w:lang w:eastAsia="zh-CN"/>
        </w:rPr>
        <w:br w:type="page"/>
      </w:r>
    </w:p>
    <w:p w14:paraId="411E15A7" w14:textId="7A4CC002" w:rsidR="00C621B3" w:rsidRPr="005923CB" w:rsidRDefault="00C621B3" w:rsidP="00C621B3">
      <w:pPr>
        <w:spacing w:beforeLines="50" w:before="156" w:line="360" w:lineRule="auto"/>
        <w:outlineLvl w:val="1"/>
        <w:rPr>
          <w:rFonts w:ascii="Calibri" w:hAnsi="Calibri" w:cs="Calibri"/>
          <w:b/>
          <w:bCs/>
          <w:color w:val="000000" w:themeColor="text1"/>
          <w:sz w:val="22"/>
        </w:rPr>
      </w:pPr>
      <w:r w:rsidRPr="005923CB">
        <w:rPr>
          <w:rFonts w:ascii="Calibri" w:hAnsi="Calibri" w:cs="Calibri"/>
          <w:b/>
          <w:bCs/>
          <w:color w:val="000000" w:themeColor="text1"/>
          <w:sz w:val="22"/>
        </w:rPr>
        <w:lastRenderedPageBreak/>
        <w:t>Text S1.</w:t>
      </w:r>
      <w:r w:rsidR="003B28F3" w:rsidRPr="005923CB">
        <w:rPr>
          <w:rFonts w:ascii="Calibri" w:hAnsi="Calibri" w:cs="Calibri"/>
          <w:b/>
          <w:bCs/>
          <w:color w:val="000000" w:themeColor="text1"/>
          <w:sz w:val="22"/>
        </w:rPr>
        <w:t xml:space="preserve"> </w:t>
      </w:r>
      <w:r w:rsidR="005923CB" w:rsidRPr="005923CB">
        <w:rPr>
          <w:rFonts w:ascii="Calibri" w:hAnsi="Calibri" w:cs="Calibri"/>
          <w:b/>
          <w:bCs/>
          <w:color w:val="000000" w:themeColor="text1"/>
          <w:sz w:val="22"/>
        </w:rPr>
        <w:t>Study area</w:t>
      </w:r>
    </w:p>
    <w:p w14:paraId="7D4C6960" w14:textId="45D3B1DE" w:rsidR="005923CB" w:rsidRPr="005923CB" w:rsidRDefault="005923CB" w:rsidP="005923CB">
      <w:pPr>
        <w:pStyle w:val="IAHRfigure"/>
        <w:spacing w:line="360" w:lineRule="auto"/>
        <w:jc w:val="both"/>
        <w:rPr>
          <w:rFonts w:ascii="Calibri" w:hAnsi="Calibri" w:cs="Calibri"/>
          <w:shd w:val="clear" w:color="auto" w:fill="FCFCFC"/>
        </w:rPr>
      </w:pPr>
      <w:r w:rsidRPr="005923CB">
        <w:rPr>
          <w:rFonts w:ascii="Calibri" w:hAnsi="Calibri" w:cs="Calibri"/>
          <w:shd w:val="clear" w:color="auto" w:fill="FCFCFC"/>
        </w:rPr>
        <w:t xml:space="preserve">In 2020, the upper reaches of the Huaihe River experienced consecutive heavy rainfall events, leading to critical flood conditions in the Xuyi section. At 11:50 AM on August 12, a breach occurred at the Yaotan polder embankment within the flood diversion area of the main Huaihe River channel. The geographic coordinates of the breach are 32°58′23.7″N, 118°20′03.1″E. The study area </w:t>
      </w:r>
      <w:r w:rsidRPr="005923CB">
        <w:rPr>
          <w:rFonts w:ascii="Calibri" w:eastAsia="宋体" w:hAnsi="Calibri" w:cs="Calibri"/>
          <w:shd w:val="clear" w:color="auto" w:fill="FCFCFC"/>
          <w:lang w:eastAsia="zh-CN"/>
        </w:rPr>
        <w:t xml:space="preserve">of </w:t>
      </w:r>
      <w:r w:rsidRPr="005923CB">
        <w:rPr>
          <w:rFonts w:ascii="Calibri" w:hAnsi="Calibri" w:cs="Calibri"/>
          <w:shd w:val="clear" w:color="auto" w:fill="FCFCFC"/>
        </w:rPr>
        <w:t xml:space="preserve">the Yaotan Polder is shown in </w:t>
      </w:r>
      <w:r w:rsidRPr="005923CB">
        <w:rPr>
          <w:rFonts w:ascii="Calibri" w:hAnsi="Calibri" w:cs="Calibri"/>
          <w:shd w:val="clear" w:color="auto" w:fill="FCFCFC"/>
        </w:rPr>
        <w:fldChar w:fldCharType="begin"/>
      </w:r>
      <w:r w:rsidRPr="005923CB">
        <w:rPr>
          <w:rFonts w:ascii="Calibri" w:hAnsi="Calibri" w:cs="Calibri"/>
          <w:shd w:val="clear" w:color="auto" w:fill="FCFCFC"/>
        </w:rPr>
        <w:instrText xml:space="preserve"> REF _Ref209794999 \h  \* MERGEFORMAT </w:instrText>
      </w:r>
      <w:r w:rsidRPr="005923CB">
        <w:rPr>
          <w:rFonts w:ascii="Calibri" w:hAnsi="Calibri" w:cs="Calibri"/>
          <w:shd w:val="clear" w:color="auto" w:fill="FCFCFC"/>
        </w:rPr>
      </w:r>
      <w:r w:rsidRPr="005923CB">
        <w:rPr>
          <w:rFonts w:ascii="Calibri" w:hAnsi="Calibri" w:cs="Calibri"/>
          <w:shd w:val="clear" w:color="auto" w:fill="FCFCFC"/>
        </w:rPr>
        <w:fldChar w:fldCharType="separate"/>
      </w:r>
      <w:r w:rsidR="00D079B8" w:rsidRPr="00D079B8">
        <w:rPr>
          <w:rFonts w:ascii="Calibri" w:hAnsi="Calibri" w:cs="Calibri"/>
          <w:shd w:val="clear" w:color="auto" w:fill="FCFCFC"/>
        </w:rPr>
        <w:t>Figure S1</w:t>
      </w:r>
      <w:r w:rsidRPr="005923CB">
        <w:rPr>
          <w:rFonts w:ascii="Calibri" w:hAnsi="Calibri" w:cs="Calibri"/>
          <w:shd w:val="clear" w:color="auto" w:fill="FCFCFC"/>
        </w:rPr>
        <w:fldChar w:fldCharType="end"/>
      </w:r>
      <w:r w:rsidRPr="005923CB">
        <w:rPr>
          <w:rFonts w:ascii="Calibri" w:hAnsi="Calibri" w:cs="Calibri"/>
          <w:shd w:val="clear" w:color="auto" w:fill="FCFCFC"/>
        </w:rPr>
        <w:t xml:space="preserve">. </w:t>
      </w:r>
    </w:p>
    <w:p w14:paraId="008B13D2" w14:textId="77777777" w:rsidR="005923CB" w:rsidRPr="005923CB" w:rsidRDefault="005923CB" w:rsidP="002D155A">
      <w:pPr>
        <w:pStyle w:val="IAHRfigure"/>
        <w:spacing w:line="480" w:lineRule="auto"/>
        <w:rPr>
          <w:rFonts w:ascii="Calibri" w:hAnsi="Calibri" w:cs="Calibri"/>
        </w:rPr>
      </w:pPr>
      <w:r w:rsidRPr="005923CB">
        <w:rPr>
          <w:rFonts w:ascii="Calibri" w:hAnsi="Calibri" w:cs="Calibri"/>
        </w:rPr>
        <w:drawing>
          <wp:inline distT="0" distB="0" distL="0" distR="0" wp14:anchorId="4F2442A3" wp14:editId="5EE007AB">
            <wp:extent cx="5760000" cy="4133538"/>
            <wp:effectExtent l="0" t="0" r="0" b="635"/>
            <wp:docPr id="2040162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0" cy="4133538"/>
                    </a:xfrm>
                    <a:prstGeom prst="rect">
                      <a:avLst/>
                    </a:prstGeom>
                    <a:noFill/>
                    <a:ln>
                      <a:noFill/>
                    </a:ln>
                  </pic:spPr>
                </pic:pic>
              </a:graphicData>
            </a:graphic>
          </wp:inline>
        </w:drawing>
      </w:r>
    </w:p>
    <w:p w14:paraId="59E93D67" w14:textId="0F0791CE" w:rsidR="005923CB" w:rsidRDefault="005923CB" w:rsidP="005923CB">
      <w:pPr>
        <w:pStyle w:val="IAHRfigure"/>
        <w:spacing w:line="480" w:lineRule="auto"/>
        <w:jc w:val="both"/>
        <w:rPr>
          <w:rFonts w:ascii="Calibri" w:eastAsiaTheme="minorEastAsia" w:hAnsi="Calibri" w:cs="Calibri"/>
          <w:shd w:val="clear" w:color="auto" w:fill="FCFCFC"/>
          <w:lang w:eastAsia="zh-CN"/>
        </w:rPr>
      </w:pPr>
      <w:bookmarkStart w:id="0" w:name="_Ref209794999"/>
      <w:r w:rsidRPr="005923CB">
        <w:rPr>
          <w:rFonts w:ascii="Calibri" w:hAnsi="Calibri" w:cs="Calibri"/>
          <w:b/>
          <w:bCs/>
          <w:shd w:val="clear" w:color="auto" w:fill="FCFCFC"/>
        </w:rPr>
        <w:t xml:space="preserve">Figure </w:t>
      </w:r>
      <w:r w:rsidRPr="005923CB">
        <w:rPr>
          <w:rFonts w:ascii="Calibri" w:eastAsiaTheme="minorEastAsia" w:hAnsi="Calibri" w:cs="Calibri"/>
          <w:b/>
          <w:bCs/>
          <w:shd w:val="clear" w:color="auto" w:fill="FCFCFC"/>
          <w:lang w:eastAsia="zh-CN"/>
        </w:rPr>
        <w:t>S</w:t>
      </w:r>
      <w:r w:rsidRPr="005923CB">
        <w:rPr>
          <w:rFonts w:ascii="Calibri" w:hAnsi="Calibri" w:cs="Calibri"/>
          <w:b/>
          <w:bCs/>
          <w:shd w:val="clear" w:color="auto" w:fill="FCFCFC"/>
        </w:rPr>
        <w:fldChar w:fldCharType="begin"/>
      </w:r>
      <w:r w:rsidRPr="005923CB">
        <w:rPr>
          <w:rFonts w:ascii="Calibri" w:hAnsi="Calibri" w:cs="Calibri"/>
          <w:b/>
          <w:bCs/>
          <w:shd w:val="clear" w:color="auto" w:fill="FCFCFC"/>
        </w:rPr>
        <w:instrText xml:space="preserve"> SEQ Figure \* ARABIC </w:instrText>
      </w:r>
      <w:r w:rsidRPr="005923CB">
        <w:rPr>
          <w:rFonts w:ascii="Calibri" w:hAnsi="Calibri" w:cs="Calibri"/>
          <w:b/>
          <w:bCs/>
          <w:shd w:val="clear" w:color="auto" w:fill="FCFCFC"/>
        </w:rPr>
        <w:fldChar w:fldCharType="separate"/>
      </w:r>
      <w:r w:rsidR="00D079B8">
        <w:rPr>
          <w:rFonts w:ascii="Calibri" w:hAnsi="Calibri" w:cs="Calibri"/>
          <w:b/>
          <w:bCs/>
          <w:shd w:val="clear" w:color="auto" w:fill="FCFCFC"/>
        </w:rPr>
        <w:t>1</w:t>
      </w:r>
      <w:r w:rsidRPr="005923CB">
        <w:rPr>
          <w:rFonts w:ascii="Calibri" w:hAnsi="Calibri" w:cs="Calibri"/>
          <w:b/>
          <w:bCs/>
          <w:shd w:val="clear" w:color="auto" w:fill="FCFCFC"/>
        </w:rPr>
        <w:fldChar w:fldCharType="end"/>
      </w:r>
      <w:bookmarkEnd w:id="0"/>
      <w:r w:rsidR="00A52822">
        <w:rPr>
          <w:rFonts w:ascii="宋体" w:eastAsia="宋体" w:hAnsi="宋体" w:cs="宋体" w:hint="eastAsia"/>
          <w:b/>
          <w:bCs/>
          <w:shd w:val="clear" w:color="auto" w:fill="FCFCFC"/>
          <w:lang w:eastAsia="zh-CN"/>
        </w:rPr>
        <w:t xml:space="preserve">. </w:t>
      </w:r>
      <w:r w:rsidR="00A52822" w:rsidRPr="00A52822">
        <w:rPr>
          <w:rFonts w:ascii="Calibri" w:hAnsi="Calibri" w:cs="Calibri" w:hint="eastAsia"/>
          <w:shd w:val="clear" w:color="auto" w:fill="FCFCFC"/>
        </w:rPr>
        <w:t>Location and geographical setting of the Yaotan Polder breach. (a) Location of the study region in China. (b) Topography and river network around Xuyi. (c) Location of the Yaotan Polder. (d) Aerial view of the breach site and the adjacent embankment.</w:t>
      </w:r>
      <w:r w:rsidRPr="005923CB">
        <w:rPr>
          <w:rFonts w:ascii="Calibri" w:hAnsi="Calibri" w:cs="Calibri"/>
          <w:shd w:val="clear" w:color="auto" w:fill="FCFCFC"/>
        </w:rPr>
        <w:t xml:space="preserve"> </w:t>
      </w:r>
      <w:r w:rsidR="00D56A0D">
        <w:rPr>
          <w:rFonts w:ascii="Calibri" w:hAnsi="Calibri" w:cs="Calibri"/>
          <w:shd w:val="clear" w:color="auto" w:fill="FCFCFC"/>
        </w:rPr>
        <w:br w:type="page"/>
      </w:r>
    </w:p>
    <w:p w14:paraId="3C382EEB" w14:textId="66E9A975" w:rsidR="00623D41" w:rsidRPr="00331449" w:rsidRDefault="00623D41" w:rsidP="00331449">
      <w:pPr>
        <w:spacing w:beforeLines="50" w:before="156" w:line="360" w:lineRule="auto"/>
        <w:outlineLvl w:val="1"/>
        <w:rPr>
          <w:rFonts w:ascii="Calibri" w:hAnsi="Calibri" w:cs="Calibri"/>
          <w:b/>
          <w:bCs/>
          <w:color w:val="000000" w:themeColor="text1"/>
          <w:sz w:val="22"/>
        </w:rPr>
      </w:pPr>
      <w:r w:rsidRPr="00623D41">
        <w:rPr>
          <w:rFonts w:ascii="Calibri" w:hAnsi="Calibri" w:cs="Calibri" w:hint="eastAsia"/>
          <w:b/>
          <w:bCs/>
          <w:color w:val="000000" w:themeColor="text1"/>
          <w:sz w:val="22"/>
        </w:rPr>
        <w:lastRenderedPageBreak/>
        <w:t>Text S2. Derivation and processing of hydraulic and erosion variables</w:t>
      </w:r>
    </w:p>
    <w:p w14:paraId="3242D2DE" w14:textId="57080635" w:rsidR="00623D41" w:rsidRPr="00331449" w:rsidRDefault="00623D41" w:rsidP="00623D41">
      <w:pPr>
        <w:pStyle w:val="IAHRfigure"/>
        <w:spacing w:line="480" w:lineRule="auto"/>
        <w:jc w:val="left"/>
        <w:rPr>
          <w:rFonts w:ascii="Calibri" w:eastAsiaTheme="minorEastAsia" w:hAnsi="Calibri" w:cs="Calibri"/>
          <w:b/>
          <w:bCs/>
          <w:shd w:val="clear" w:color="auto" w:fill="FCFCFC"/>
          <w:lang w:eastAsia="zh-CN"/>
        </w:rPr>
      </w:pPr>
      <w:r w:rsidRPr="00331449">
        <w:rPr>
          <w:rFonts w:ascii="Calibri" w:eastAsiaTheme="minorEastAsia" w:hAnsi="Calibri" w:cs="Calibri" w:hint="eastAsia"/>
          <w:b/>
          <w:bCs/>
          <w:shd w:val="clear" w:color="auto" w:fill="FCFCFC"/>
          <w:lang w:eastAsia="zh-CN"/>
        </w:rPr>
        <w:t>S2.1 Reservoir water balance and discharge processing</w:t>
      </w:r>
    </w:p>
    <w:p w14:paraId="4BB8C1E3" w14:textId="69E2FF03"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shd w:val="clear" w:color="auto" w:fill="FCFCFC"/>
          <w:lang w:eastAsia="zh-CN"/>
        </w:rPr>
        <w:t>Breach outflow was estimated from changes in upstream reservoir storage during active flow. For the ith observation interval, the effective horizontal reservoir area Aᵣ was 500 m² and the nominal interval Δtᵢ was 10 s. The reservoir-level increment and cor</w:t>
      </w:r>
      <w:r w:rsidRPr="00623D41">
        <w:rPr>
          <w:rFonts w:ascii="Calibri" w:eastAsiaTheme="minorEastAsia" w:hAnsi="Calibri" w:cs="Calibri" w:hint="eastAsia"/>
          <w:shd w:val="clear" w:color="auto" w:fill="FCFCFC"/>
          <w:lang w:eastAsia="zh-CN"/>
        </w:rPr>
        <w:t>responding storage change were</w:t>
      </w:r>
    </w:p>
    <w:p w14:paraId="29029CFE" w14:textId="1E07FE7E" w:rsidR="00623D41" w:rsidRDefault="009838D4" w:rsidP="009838D4">
      <w:pPr>
        <w:pStyle w:val="MTDisplayEquation"/>
        <w:rPr>
          <w:rFonts w:eastAsiaTheme="minorEastAsia"/>
        </w:rPr>
      </w:pPr>
      <w:r>
        <w:rPr>
          <w:rFonts w:eastAsiaTheme="minorEastAsia"/>
        </w:rPr>
        <w:tab/>
      </w:r>
      <w:r w:rsidRPr="009838D4">
        <w:rPr>
          <w:rFonts w:eastAsiaTheme="minorEastAsia"/>
          <w:position w:val="-14"/>
        </w:rPr>
        <w:object w:dxaOrig="1500" w:dyaOrig="380" w14:anchorId="5E6A7E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5pt;height:18.75pt" o:ole="">
            <v:imagedata r:id="rId8" o:title=""/>
          </v:shape>
          <o:OLEObject Type="Embed" ProgID="Equation.DSMT4" ShapeID="_x0000_i1025" DrawAspect="Content" ObjectID="_1853414531" r:id="rId9"/>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1</w:instrText>
      </w:r>
      <w:r>
        <w:rPr>
          <w:rFonts w:eastAsiaTheme="minorEastAsia"/>
        </w:rPr>
        <w:fldChar w:fldCharType="end"/>
      </w:r>
      <w:r>
        <w:rPr>
          <w:rFonts w:eastAsiaTheme="minorEastAsia"/>
        </w:rPr>
        <w:instrText>)</w:instrText>
      </w:r>
      <w:r>
        <w:rPr>
          <w:rFonts w:eastAsiaTheme="minorEastAsia"/>
        </w:rPr>
        <w:fldChar w:fldCharType="end"/>
      </w:r>
    </w:p>
    <w:p w14:paraId="41C0F30A" w14:textId="11C528E5" w:rsidR="009838D4" w:rsidRPr="00623D41" w:rsidRDefault="009838D4" w:rsidP="009838D4">
      <w:pPr>
        <w:pStyle w:val="MTDisplayEquation"/>
        <w:rPr>
          <w:rFonts w:eastAsiaTheme="minorEastAsia"/>
        </w:rPr>
      </w:pPr>
      <w:r>
        <w:rPr>
          <w:rFonts w:eastAsiaTheme="minorEastAsia"/>
        </w:rPr>
        <w:tab/>
      </w:r>
      <w:r w:rsidRPr="009838D4">
        <w:rPr>
          <w:rFonts w:eastAsiaTheme="minorEastAsia"/>
          <w:position w:val="-12"/>
        </w:rPr>
        <w:object w:dxaOrig="1180" w:dyaOrig="360" w14:anchorId="7A6461E0">
          <v:shape id="_x0000_i1026" type="#_x0000_t75" style="width:59.1pt;height:18.3pt" o:ole="">
            <v:imagedata r:id="rId10" o:title=""/>
          </v:shape>
          <o:OLEObject Type="Embed" ProgID="Equation.DSMT4" ShapeID="_x0000_i1026" DrawAspect="Content" ObjectID="_1853414532" r:id="rId11"/>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2</w:instrText>
      </w:r>
      <w:r>
        <w:rPr>
          <w:rFonts w:eastAsiaTheme="minorEastAsia"/>
        </w:rPr>
        <w:fldChar w:fldCharType="end"/>
      </w:r>
      <w:r>
        <w:rPr>
          <w:rFonts w:eastAsiaTheme="minorEastAsia"/>
        </w:rPr>
        <w:instrText>)</w:instrText>
      </w:r>
      <w:r>
        <w:rPr>
          <w:rFonts w:eastAsiaTheme="minorEastAsia"/>
        </w:rPr>
        <w:fldChar w:fldCharType="end"/>
      </w:r>
    </w:p>
    <w:p w14:paraId="0D1CEB44" w14:textId="7ED0B45F" w:rsidR="009838D4" w:rsidRPr="00331449" w:rsidRDefault="009838D4" w:rsidP="009838D4">
      <w:pPr>
        <w:pStyle w:val="MTDisplayEquation"/>
        <w:rPr>
          <w:rFonts w:eastAsiaTheme="minorEastAsia"/>
        </w:rPr>
      </w:pPr>
      <w:r>
        <w:rPr>
          <w:rFonts w:eastAsiaTheme="minorEastAsia"/>
        </w:rPr>
        <w:tab/>
      </w:r>
      <w:r w:rsidRPr="009838D4">
        <w:rPr>
          <w:rFonts w:eastAsiaTheme="minorEastAsia"/>
          <w:position w:val="-30"/>
        </w:rPr>
        <w:object w:dxaOrig="1660" w:dyaOrig="680" w14:anchorId="54AFDA67">
          <v:shape id="_x0000_i1027" type="#_x0000_t75" style="width:82.8pt;height:33.7pt" o:ole="">
            <v:imagedata r:id="rId12" o:title=""/>
          </v:shape>
          <o:OLEObject Type="Embed" ProgID="Equation.DSMT4" ShapeID="_x0000_i1027" DrawAspect="Content" ObjectID="_1853414533" r:id="rId13"/>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3</w:instrText>
      </w:r>
      <w:r>
        <w:rPr>
          <w:rFonts w:eastAsiaTheme="minorEastAsia"/>
        </w:rPr>
        <w:fldChar w:fldCharType="end"/>
      </w:r>
      <w:r>
        <w:rPr>
          <w:rFonts w:eastAsiaTheme="minorEastAsia"/>
        </w:rPr>
        <w:instrText>)</w:instrText>
      </w:r>
      <w:r>
        <w:rPr>
          <w:rFonts w:eastAsiaTheme="minorEastAsia"/>
        </w:rPr>
        <w:fldChar w:fldCharType="end"/>
      </w:r>
    </w:p>
    <w:p w14:paraId="37E6CED9" w14:textId="5F7CC971"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shd w:val="clear" w:color="auto" w:fill="FCFCFC"/>
          <w:lang w:eastAsia="zh-CN"/>
        </w:rPr>
        <w:t>where hᵣ,ᵢ is reservoir water level and Qin = 3.36 m³/s. The subscript r distinguishes reservoir water level from local flow depth h in the total-head calculation below. Reservoir drawdown gives a negative storage change and an outflow estimate greater tha</w:t>
      </w:r>
      <w:r w:rsidRPr="00623D41">
        <w:rPr>
          <w:rFonts w:ascii="Calibri" w:eastAsiaTheme="minorEastAsia" w:hAnsi="Calibri" w:cs="Calibri" w:hint="eastAsia"/>
          <w:shd w:val="clear" w:color="auto" w:fill="FCFCFC"/>
          <w:lang w:eastAsia="zh-CN"/>
        </w:rPr>
        <w:t>n Qin.</w:t>
      </w:r>
    </w:p>
    <w:p w14:paraId="338474EA" w14:textId="5148D5D5"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shd w:val="clear" w:color="auto" w:fill="FCFCFC"/>
          <w:lang w:eastAsia="zh-CN"/>
        </w:rPr>
        <w:t xml:space="preserve">Successive water-level increments were smoothed using a five-point centered moving average before calculating the processed outflow series. The window used the available increments from i − 2 to i + 2 within the same active-flow segment; shortened windows </w:t>
      </w:r>
      <w:r w:rsidRPr="00623D41">
        <w:rPr>
          <w:rFonts w:ascii="Calibri" w:eastAsiaTheme="minorEastAsia" w:hAnsi="Calibri" w:cs="Calibri" w:hint="eastAsia"/>
          <w:shd w:val="clear" w:color="auto" w:fill="FCFCFC"/>
          <w:lang w:eastAsia="zh-CN"/>
        </w:rPr>
        <w:t>were used at segment ends. At the nominal 10-s interval, the full window represented approximately 50 s. Negative processed outflow estimates were set to zero. The five active-flow segments were processed independently, without averaging across controlled interruptions.</w:t>
      </w:r>
    </w:p>
    <w:p w14:paraId="60CC2E50" w14:textId="724027CA"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hint="eastAsia"/>
          <w:shd w:val="clear" w:color="auto" w:fill="FCFCFC"/>
          <w:lang w:eastAsia="zh-CN"/>
        </w:rPr>
        <w:lastRenderedPageBreak/>
        <w:t>The calculated series therefore represented moving-window water-balance estimates rather than directly measured instantaneous discharge. Connecting the maximum estimate from each active-flow segment formed the segment-peak envelope used for stage-level comparison. Gate closure, drainage, surveying, refilling, and restart acceleration were excluded from the active-flow record according to the effective-time definition in the main Methods.</w:t>
      </w:r>
    </w:p>
    <w:p w14:paraId="3613AB00" w14:textId="0DF896A0" w:rsidR="00623D41" w:rsidRPr="00331449" w:rsidRDefault="00623D41" w:rsidP="00623D41">
      <w:pPr>
        <w:pStyle w:val="IAHRfigure"/>
        <w:spacing w:line="480" w:lineRule="auto"/>
        <w:jc w:val="left"/>
        <w:rPr>
          <w:rFonts w:ascii="Calibri" w:eastAsiaTheme="minorEastAsia" w:hAnsi="Calibri" w:cs="Calibri"/>
          <w:b/>
          <w:bCs/>
          <w:shd w:val="clear" w:color="auto" w:fill="FCFCFC"/>
          <w:lang w:eastAsia="zh-CN"/>
        </w:rPr>
      </w:pPr>
      <w:r w:rsidRPr="00331449">
        <w:rPr>
          <w:rFonts w:ascii="Calibri" w:eastAsiaTheme="minorEastAsia" w:hAnsi="Calibri" w:cs="Calibri" w:hint="eastAsia"/>
          <w:b/>
          <w:bCs/>
          <w:shd w:val="clear" w:color="auto" w:fill="FCFCFC"/>
          <w:lang w:eastAsia="zh-CN"/>
        </w:rPr>
        <w:t>S2.2 DEM sampling and apparent erosion rate</w:t>
      </w:r>
    </w:p>
    <w:p w14:paraId="66456735" w14:textId="14B72ED3"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shd w:val="clear" w:color="auto" w:fill="FCFCFC"/>
          <w:lang w:eastAsia="zh-CN"/>
        </w:rPr>
        <w:t>Successive georeferenced DEMs were sampled along the breach channel at Δx = 0.5 m, following the workflow in main-text Fig. 3(a). At section i, positive bed-elevation loss Δzᵢ between successive surveys was divided by the intervening effective-flow duratio</w:t>
      </w:r>
      <w:r w:rsidRPr="00623D41">
        <w:rPr>
          <w:rFonts w:ascii="Calibri" w:eastAsiaTheme="minorEastAsia" w:hAnsi="Calibri" w:cs="Calibri" w:hint="eastAsia"/>
          <w:shd w:val="clear" w:color="auto" w:fill="FCFCFC"/>
          <w:lang w:eastAsia="zh-CN"/>
        </w:rPr>
        <w:t>n:</w:t>
      </w:r>
    </w:p>
    <w:p w14:paraId="76F60EFC" w14:textId="7F1AAB64" w:rsidR="009838D4" w:rsidRDefault="009838D4" w:rsidP="009838D4">
      <w:pPr>
        <w:pStyle w:val="MTDisplayEquation"/>
        <w:rPr>
          <w:rFonts w:eastAsiaTheme="minorEastAsia"/>
        </w:rPr>
      </w:pPr>
      <w:r>
        <w:rPr>
          <w:rFonts w:eastAsiaTheme="minorEastAsia"/>
        </w:rPr>
        <w:tab/>
      </w:r>
      <w:r w:rsidRPr="009838D4">
        <w:rPr>
          <w:rFonts w:eastAsiaTheme="minorEastAsia"/>
          <w:position w:val="-30"/>
        </w:rPr>
        <w:object w:dxaOrig="980" w:dyaOrig="680" w14:anchorId="2D540FED">
          <v:shape id="_x0000_i1028" type="#_x0000_t75" style="width:49.1pt;height:33.7pt" o:ole="">
            <v:imagedata r:id="rId14" o:title=""/>
          </v:shape>
          <o:OLEObject Type="Embed" ProgID="Equation.DSMT4" ShapeID="_x0000_i1028" DrawAspect="Content" ObjectID="_1853414534" r:id="rId15"/>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4</w:instrText>
      </w:r>
      <w:r>
        <w:rPr>
          <w:rFonts w:eastAsiaTheme="minorEastAsia"/>
        </w:rPr>
        <w:fldChar w:fldCharType="end"/>
      </w:r>
      <w:r>
        <w:rPr>
          <w:rFonts w:eastAsiaTheme="minorEastAsia"/>
        </w:rPr>
        <w:instrText>)</w:instrText>
      </w:r>
      <w:r>
        <w:rPr>
          <w:rFonts w:eastAsiaTheme="minorEastAsia"/>
        </w:rPr>
        <w:fldChar w:fldCharType="end"/>
      </w:r>
    </w:p>
    <w:p w14:paraId="38723E0E" w14:textId="48D799B7" w:rsidR="00623D41" w:rsidRPr="00623D41" w:rsidRDefault="00623D41" w:rsidP="009838D4">
      <w:pPr>
        <w:pStyle w:val="MTDisplayEquation"/>
        <w:rPr>
          <w:rFonts w:eastAsiaTheme="minorEastAsia"/>
        </w:rPr>
      </w:pPr>
      <w:r w:rsidRPr="00623D41">
        <w:rPr>
          <w:rFonts w:eastAsiaTheme="minorEastAsia"/>
          <w:lang w:eastAsia="zh-CN"/>
        </w:rPr>
        <w:t>The denominator followed the cumulative effective-flow time basis defined in the main Methods and excluded gate closure, drainage, UAV surveying, reservoir refilling, and the approximately 5–10-s acceleration period after each restart. Eᵢ was an interval-a</w:t>
      </w:r>
      <w:r w:rsidRPr="00623D41">
        <w:rPr>
          <w:rFonts w:eastAsiaTheme="minorEastAsia" w:hint="eastAsia"/>
          <w:lang w:eastAsia="zh-CN"/>
        </w:rPr>
        <w:t>veraged apparent erosion rate. DEM differencing could include both gradual surface lowering and discrete elevation losses occurring between surveys; it did not separate continuous erosion from event-related material loss.</w:t>
      </w:r>
    </w:p>
    <w:p w14:paraId="0F11FB2B" w14:textId="09AE0A4B" w:rsidR="00623D41" w:rsidRPr="00331449" w:rsidRDefault="00623D41" w:rsidP="00623D41">
      <w:pPr>
        <w:pStyle w:val="IAHRfigure"/>
        <w:spacing w:line="480" w:lineRule="auto"/>
        <w:jc w:val="left"/>
        <w:rPr>
          <w:rFonts w:ascii="Calibri" w:eastAsiaTheme="minorEastAsia" w:hAnsi="Calibri" w:cs="Calibri"/>
          <w:b/>
          <w:bCs/>
          <w:shd w:val="clear" w:color="auto" w:fill="FCFCFC"/>
          <w:lang w:eastAsia="zh-CN"/>
        </w:rPr>
      </w:pPr>
      <w:r w:rsidRPr="00331449">
        <w:rPr>
          <w:rFonts w:ascii="Calibri" w:eastAsiaTheme="minorEastAsia" w:hAnsi="Calibri" w:cs="Calibri" w:hint="eastAsia"/>
          <w:b/>
          <w:bCs/>
          <w:shd w:val="clear" w:color="auto" w:fill="FCFCFC"/>
          <w:lang w:eastAsia="zh-CN"/>
        </w:rPr>
        <w:t>S2.3 Total head, energy slope, and estimated hydraulic stress</w:t>
      </w:r>
    </w:p>
    <w:p w14:paraId="272CC90F" w14:textId="74CDA78D"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hint="eastAsia"/>
          <w:shd w:val="clear" w:color="auto" w:fill="FCFCFC"/>
          <w:lang w:eastAsia="zh-CN"/>
        </w:rPr>
        <w:t xml:space="preserve">The hydraulic calculation used adjacent sections separated by </w:t>
      </w:r>
      <w:r w:rsidRPr="00623D41">
        <w:rPr>
          <w:rFonts w:ascii="Calibri" w:eastAsiaTheme="minorEastAsia" w:hAnsi="Calibri" w:cs="Calibri" w:hint="eastAsia"/>
          <w:shd w:val="clear" w:color="auto" w:fill="FCFCFC"/>
          <w:lang w:eastAsia="zh-CN"/>
        </w:rPr>
        <w:t>Δ</w:t>
      </w:r>
      <w:r w:rsidRPr="00623D41">
        <w:rPr>
          <w:rFonts w:ascii="Calibri" w:eastAsiaTheme="minorEastAsia" w:hAnsi="Calibri" w:cs="Calibri" w:hint="eastAsia"/>
          <w:shd w:val="clear" w:color="auto" w:fill="FCFCFC"/>
          <w:lang w:eastAsia="zh-CN"/>
        </w:rPr>
        <w:t>x, as illustrated in main-text Fig. 3(b). Total head and energy slope were expressed as</w:t>
      </w:r>
    </w:p>
    <w:p w14:paraId="75982FF2" w14:textId="0A72ABD7" w:rsidR="009838D4" w:rsidRPr="00623D41" w:rsidRDefault="009838D4" w:rsidP="009838D4">
      <w:pPr>
        <w:pStyle w:val="MTDisplayEquation"/>
        <w:rPr>
          <w:rFonts w:eastAsiaTheme="minorEastAsia"/>
        </w:rPr>
      </w:pPr>
      <w:r>
        <w:rPr>
          <w:rFonts w:eastAsiaTheme="minorEastAsia"/>
        </w:rPr>
        <w:lastRenderedPageBreak/>
        <w:tab/>
      </w:r>
      <w:r w:rsidRPr="009838D4">
        <w:rPr>
          <w:rFonts w:eastAsiaTheme="minorEastAsia"/>
          <w:position w:val="-28"/>
        </w:rPr>
        <w:object w:dxaOrig="1660" w:dyaOrig="700" w14:anchorId="6AFD5A13">
          <v:shape id="_x0000_i1029" type="#_x0000_t75" style="width:82.8pt;height:34.95pt" o:ole="">
            <v:imagedata r:id="rId16" o:title=""/>
          </v:shape>
          <o:OLEObject Type="Embed" ProgID="Equation.DSMT4" ShapeID="_x0000_i1029" DrawAspect="Content" ObjectID="_1853414535" r:id="rId17"/>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5</w:instrText>
      </w:r>
      <w:r>
        <w:rPr>
          <w:rFonts w:eastAsiaTheme="minorEastAsia"/>
        </w:rPr>
        <w:fldChar w:fldCharType="end"/>
      </w:r>
      <w:r>
        <w:rPr>
          <w:rFonts w:eastAsiaTheme="minorEastAsia"/>
        </w:rPr>
        <w:instrText>)</w:instrText>
      </w:r>
      <w:r>
        <w:rPr>
          <w:rFonts w:eastAsiaTheme="minorEastAsia"/>
        </w:rPr>
        <w:fldChar w:fldCharType="end"/>
      </w:r>
    </w:p>
    <w:p w14:paraId="5A81779F" w14:textId="6947C5FC" w:rsidR="00623D41" w:rsidRDefault="009838D4" w:rsidP="009838D4">
      <w:pPr>
        <w:pStyle w:val="MTDisplayEquation"/>
        <w:rPr>
          <w:rFonts w:eastAsiaTheme="minorEastAsia"/>
        </w:rPr>
      </w:pPr>
      <w:r>
        <w:rPr>
          <w:rFonts w:eastAsiaTheme="minorEastAsia"/>
        </w:rPr>
        <w:tab/>
      </w:r>
      <w:r w:rsidRPr="009838D4">
        <w:rPr>
          <w:rFonts w:eastAsiaTheme="minorEastAsia"/>
          <w:position w:val="-24"/>
        </w:rPr>
        <w:object w:dxaOrig="1579" w:dyaOrig="620" w14:anchorId="71A82448">
          <v:shape id="_x0000_i1030" type="#_x0000_t75" style="width:79.1pt;height:31.2pt" o:ole="">
            <v:imagedata r:id="rId18" o:title=""/>
          </v:shape>
          <o:OLEObject Type="Embed" ProgID="Equation.DSMT4" ShapeID="_x0000_i1030" DrawAspect="Content" ObjectID="_1853414536" r:id="rId19"/>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6</w:instrText>
      </w:r>
      <w:r>
        <w:rPr>
          <w:rFonts w:eastAsiaTheme="minorEastAsia"/>
        </w:rPr>
        <w:fldChar w:fldCharType="end"/>
      </w:r>
      <w:r>
        <w:rPr>
          <w:rFonts w:eastAsiaTheme="minorEastAsia"/>
        </w:rPr>
        <w:instrText>)</w:instrText>
      </w:r>
      <w:r>
        <w:rPr>
          <w:rFonts w:eastAsiaTheme="minorEastAsia"/>
        </w:rPr>
        <w:fldChar w:fldCharType="end"/>
      </w:r>
    </w:p>
    <w:p w14:paraId="214A6FDA" w14:textId="65BFAEA2" w:rsidR="009838D4" w:rsidRPr="00623D41" w:rsidRDefault="009838D4" w:rsidP="009838D4">
      <w:pPr>
        <w:pStyle w:val="MTDisplayEquation"/>
        <w:rPr>
          <w:rFonts w:eastAsiaTheme="minorEastAsia"/>
        </w:rPr>
      </w:pPr>
      <w:r>
        <w:rPr>
          <w:rFonts w:eastAsiaTheme="minorEastAsia"/>
        </w:rPr>
        <w:tab/>
      </w:r>
      <w:r w:rsidRPr="009838D4">
        <w:rPr>
          <w:rFonts w:eastAsiaTheme="minorEastAsia"/>
          <w:position w:val="-14"/>
        </w:rPr>
        <w:object w:dxaOrig="1280" w:dyaOrig="380" w14:anchorId="6B30E35F">
          <v:shape id="_x0000_i1031" type="#_x0000_t75" style="width:64.1pt;height:18.75pt" o:ole="">
            <v:imagedata r:id="rId20" o:title=""/>
          </v:shape>
          <o:OLEObject Type="Embed" ProgID="Equation.DSMT4" ShapeID="_x0000_i1031" DrawAspect="Content" ObjectID="_1853414537" r:id="rId21"/>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7</w:instrText>
      </w:r>
      <w:r>
        <w:rPr>
          <w:rFonts w:eastAsiaTheme="minorEastAsia"/>
        </w:rPr>
        <w:fldChar w:fldCharType="end"/>
      </w:r>
      <w:r>
        <w:rPr>
          <w:rFonts w:eastAsiaTheme="minorEastAsia"/>
        </w:rPr>
        <w:instrText>)</w:instrText>
      </w:r>
      <w:r>
        <w:rPr>
          <w:rFonts w:eastAsiaTheme="minorEastAsia"/>
        </w:rPr>
        <w:fldChar w:fldCharType="end"/>
      </w:r>
    </w:p>
    <w:p w14:paraId="592CF085" w14:textId="707B6750"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shd w:val="clear" w:color="auto" w:fill="FCFCFC"/>
          <w:lang w:eastAsia="zh-CN"/>
        </w:rPr>
        <w:t>where zᵢ is bed elevation, hᵢ is local flow depth, uᵢ is PIV-derived surface velocity, Rᵢ is hydraulic radius, ρ is water density, and g is gravitational acceleration. The surface velocity was used in the velocity-head term without a measured conversion to depth-averaged velocity. Because the breach flow was rapidly varied, τᵢ was treated as an estimated hydraulic index rather than a direct measurement of boundary shear stress.</w:t>
      </w:r>
    </w:p>
    <w:p w14:paraId="1418943C" w14:textId="69C25740" w:rsidR="00623D41" w:rsidRPr="00331449" w:rsidRDefault="00623D41" w:rsidP="00623D41">
      <w:pPr>
        <w:pStyle w:val="IAHRfigure"/>
        <w:spacing w:line="480" w:lineRule="auto"/>
        <w:jc w:val="left"/>
        <w:rPr>
          <w:rFonts w:ascii="Calibri" w:eastAsiaTheme="minorEastAsia" w:hAnsi="Calibri" w:cs="Calibri"/>
          <w:b/>
          <w:bCs/>
          <w:shd w:val="clear" w:color="auto" w:fill="FCFCFC"/>
          <w:lang w:eastAsia="zh-CN"/>
        </w:rPr>
      </w:pPr>
      <w:r w:rsidRPr="00331449">
        <w:rPr>
          <w:rFonts w:ascii="Calibri" w:eastAsiaTheme="minorEastAsia" w:hAnsi="Calibri" w:cs="Calibri" w:hint="eastAsia"/>
          <w:b/>
          <w:bCs/>
          <w:shd w:val="clear" w:color="auto" w:fill="FCFCFC"/>
          <w:lang w:eastAsia="zh-CN"/>
        </w:rPr>
        <w:t>S2.4 Normalization and fitting range</w:t>
      </w:r>
    </w:p>
    <w:p w14:paraId="02AF3187" w14:textId="5F9A1634"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hint="eastAsia"/>
          <w:shd w:val="clear" w:color="auto" w:fill="FCFCFC"/>
          <w:lang w:eastAsia="zh-CN"/>
        </w:rPr>
        <w:t>Only Stages 1</w:t>
      </w:r>
      <w:r w:rsidRPr="00623D41">
        <w:rPr>
          <w:rFonts w:ascii="Calibri" w:eastAsiaTheme="minorEastAsia" w:hAnsi="Calibri" w:cs="Calibri" w:hint="eastAsia"/>
          <w:shd w:val="clear" w:color="auto" w:fill="FCFCFC"/>
          <w:lang w:eastAsia="zh-CN"/>
        </w:rPr>
        <w:t>–</w:t>
      </w:r>
      <w:r w:rsidRPr="00623D41">
        <w:rPr>
          <w:rFonts w:ascii="Calibri" w:eastAsiaTheme="minorEastAsia" w:hAnsi="Calibri" w:cs="Calibri" w:hint="eastAsia"/>
          <w:shd w:val="clear" w:color="auto" w:fill="FCFCFC"/>
          <w:lang w:eastAsia="zh-CN"/>
        </w:rPr>
        <w:t>2 observations were used to fit the excess-shear relation. Writing the fitted slope as a gives the equivalent expressions</w:t>
      </w:r>
    </w:p>
    <w:p w14:paraId="47EFE404" w14:textId="59D0A0A1" w:rsidR="00CF56E7" w:rsidRPr="00623D41" w:rsidRDefault="00CF56E7" w:rsidP="00CF56E7">
      <w:pPr>
        <w:pStyle w:val="MTDisplayEquation"/>
        <w:rPr>
          <w:rFonts w:eastAsiaTheme="minorEastAsia"/>
        </w:rPr>
      </w:pPr>
      <w:r>
        <w:rPr>
          <w:rFonts w:eastAsiaTheme="minorEastAsia"/>
        </w:rPr>
        <w:tab/>
      </w:r>
      <w:r w:rsidRPr="00CF56E7">
        <w:rPr>
          <w:rFonts w:eastAsiaTheme="minorEastAsia"/>
          <w:position w:val="-14"/>
        </w:rPr>
        <w:object w:dxaOrig="1340" w:dyaOrig="400" w14:anchorId="4287A8A4">
          <v:shape id="_x0000_i1032" type="#_x0000_t75" style="width:67pt;height:20pt" o:ole="">
            <v:imagedata r:id="rId22" o:title=""/>
          </v:shape>
          <o:OLEObject Type="Embed" ProgID="Equation.DSMT4" ShapeID="_x0000_i1032" DrawAspect="Content" ObjectID="_1853414538" r:id="rId23"/>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sidR="00D079B8">
        <w:rPr>
          <w:rFonts w:eastAsiaTheme="minorEastAsia"/>
        </w:rPr>
        <w:instrText>8</w:instrText>
      </w:r>
      <w:r>
        <w:rPr>
          <w:rFonts w:eastAsiaTheme="minorEastAsia"/>
        </w:rPr>
        <w:fldChar w:fldCharType="end"/>
      </w:r>
      <w:r>
        <w:rPr>
          <w:rFonts w:eastAsiaTheme="minorEastAsia"/>
        </w:rPr>
        <w:instrText>)</w:instrText>
      </w:r>
      <w:r>
        <w:rPr>
          <w:rFonts w:eastAsiaTheme="minorEastAsia"/>
        </w:rPr>
        <w:fldChar w:fldCharType="end"/>
      </w:r>
    </w:p>
    <w:p w14:paraId="5D409247" w14:textId="52DB5038" w:rsidR="00D079B8" w:rsidRPr="00623D41" w:rsidRDefault="00D079B8" w:rsidP="00D079B8">
      <w:pPr>
        <w:pStyle w:val="MTDisplayEquation"/>
        <w:rPr>
          <w:rFonts w:eastAsiaTheme="minorEastAsia"/>
        </w:rPr>
      </w:pPr>
      <w:r>
        <w:rPr>
          <w:rFonts w:eastAsiaTheme="minorEastAsia"/>
        </w:rPr>
        <w:tab/>
      </w:r>
      <w:r w:rsidRPr="00D079B8">
        <w:rPr>
          <w:rFonts w:eastAsiaTheme="minorEastAsia"/>
          <w:position w:val="-30"/>
        </w:rPr>
        <w:object w:dxaOrig="740" w:dyaOrig="680" w14:anchorId="239FF86D">
          <v:shape id="_x0000_i1033" type="#_x0000_t75" style="width:37.05pt;height:33.7pt" o:ole="">
            <v:imagedata r:id="rId24" o:title=""/>
          </v:shape>
          <o:OLEObject Type="Embed" ProgID="Equation.DSMT4" ShapeID="_x0000_i1033" DrawAspect="Content" ObjectID="_1853414539" r:id="rId25"/>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9</w:instrText>
      </w:r>
      <w:r>
        <w:rPr>
          <w:rFonts w:eastAsiaTheme="minorEastAsia"/>
        </w:rPr>
        <w:fldChar w:fldCharType="end"/>
      </w:r>
      <w:r>
        <w:rPr>
          <w:rFonts w:eastAsiaTheme="minorEastAsia"/>
        </w:rPr>
        <w:instrText>)</w:instrText>
      </w:r>
      <w:r>
        <w:rPr>
          <w:rFonts w:eastAsiaTheme="minorEastAsia"/>
        </w:rPr>
        <w:fldChar w:fldCharType="end"/>
      </w:r>
    </w:p>
    <w:p w14:paraId="2C3AB1E8" w14:textId="6A5A6C3E" w:rsidR="00623D41" w:rsidRDefault="00D079B8" w:rsidP="00D079B8">
      <w:pPr>
        <w:pStyle w:val="MTDisplayEquation"/>
        <w:rPr>
          <w:rFonts w:eastAsiaTheme="minorEastAsia"/>
          <w:lang w:eastAsia="zh-CN"/>
        </w:rPr>
      </w:pPr>
      <w:r>
        <w:rPr>
          <w:rFonts w:eastAsiaTheme="minorEastAsia"/>
        </w:rPr>
        <w:tab/>
      </w:r>
      <w:r w:rsidRPr="00D079B8">
        <w:rPr>
          <w:rFonts w:eastAsiaTheme="minorEastAsia"/>
          <w:position w:val="-30"/>
        </w:rPr>
        <w:object w:dxaOrig="920" w:dyaOrig="680" w14:anchorId="646D526B">
          <v:shape id="_x0000_i1034" type="#_x0000_t75" style="width:46.2pt;height:33.7pt" o:ole="">
            <v:imagedata r:id="rId26" o:title=""/>
          </v:shape>
          <o:OLEObject Type="Embed" ProgID="Equation.DSMT4" ShapeID="_x0000_i1034" DrawAspect="Content" ObjectID="_1853414540" r:id="rId27"/>
        </w:object>
      </w:r>
      <w:r>
        <w:rPr>
          <w:rFonts w:eastAsiaTheme="minorEastAsia"/>
        </w:rPr>
        <w:tab/>
      </w:r>
      <w:r>
        <w:rPr>
          <w:rFonts w:eastAsiaTheme="minorEastAsia"/>
        </w:rPr>
        <w:fldChar w:fldCharType="begin"/>
      </w:r>
      <w:r>
        <w:rPr>
          <w:rFonts w:eastAsiaTheme="minorEastAsia"/>
        </w:rPr>
        <w:instrText xml:space="preserve"> MACROBUTTON MTPlaceRef \* MERGEFORMAT </w:instrText>
      </w:r>
      <w:r>
        <w:rPr>
          <w:rFonts w:eastAsiaTheme="minorEastAsia"/>
        </w:rPr>
        <w:fldChar w:fldCharType="begin"/>
      </w:r>
      <w:r>
        <w:rPr>
          <w:rFonts w:eastAsiaTheme="minorEastAsia"/>
        </w:rPr>
        <w:instrText xml:space="preserve"> SEQ MTEqn \h \* MERGEFORMAT </w:instrText>
      </w:r>
      <w:r>
        <w:rPr>
          <w:rFonts w:eastAsiaTheme="minorEastAsia"/>
        </w:rPr>
        <w:fldChar w:fldCharType="end"/>
      </w:r>
      <w:r>
        <w:rPr>
          <w:rFonts w:eastAsiaTheme="minorEastAsia"/>
        </w:rPr>
        <w:instrText>(</w:instrText>
      </w:r>
      <w:r>
        <w:rPr>
          <w:rFonts w:eastAsiaTheme="minorEastAsia"/>
        </w:rPr>
        <w:fldChar w:fldCharType="begin"/>
      </w:r>
      <w:r>
        <w:rPr>
          <w:rFonts w:eastAsiaTheme="minorEastAsia"/>
        </w:rPr>
        <w:instrText xml:space="preserve"> SEQ MTEqn \c \* Arabic \* MERGEFORMAT </w:instrText>
      </w:r>
      <w:r>
        <w:rPr>
          <w:rFonts w:eastAsiaTheme="minorEastAsia"/>
        </w:rPr>
        <w:fldChar w:fldCharType="separate"/>
      </w:r>
      <w:r>
        <w:rPr>
          <w:rFonts w:eastAsiaTheme="minorEastAsia"/>
        </w:rPr>
        <w:instrText>10</w:instrText>
      </w:r>
      <w:r>
        <w:rPr>
          <w:rFonts w:eastAsiaTheme="minorEastAsia"/>
        </w:rPr>
        <w:fldChar w:fldCharType="end"/>
      </w:r>
      <w:r>
        <w:rPr>
          <w:rFonts w:eastAsiaTheme="minorEastAsia"/>
        </w:rPr>
        <w:instrText>)</w:instrText>
      </w:r>
      <w:r>
        <w:rPr>
          <w:rFonts w:eastAsiaTheme="minorEastAsia"/>
        </w:rPr>
        <w:fldChar w:fldCharType="end"/>
      </w:r>
    </w:p>
    <w:p w14:paraId="081F43F0" w14:textId="23D8F67E" w:rsidR="00D079B8" w:rsidRPr="00D079B8" w:rsidRDefault="00D079B8" w:rsidP="00D079B8">
      <w:pPr>
        <w:pStyle w:val="MTDisplayEquation"/>
      </w:pPr>
      <w:r>
        <w:tab/>
      </w:r>
      <w:r w:rsidRPr="00D079B8">
        <w:rPr>
          <w:position w:val="-6"/>
        </w:rPr>
        <w:object w:dxaOrig="1060" w:dyaOrig="320" w14:anchorId="14B34D14">
          <v:shape id="_x0000_i1035" type="#_x0000_t75" style="width:53.25pt;height:16.25pt" o:ole="">
            <v:imagedata r:id="rId28" o:title=""/>
          </v:shape>
          <o:OLEObject Type="Embed" ProgID="Equation.DSMT4" ShapeID="_x0000_i1035" DrawAspect="Content" ObjectID="_1853414541"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instrText>11</w:instrText>
        </w:r>
      </w:fldSimple>
      <w:r>
        <w:instrText>)</w:instrText>
      </w:r>
      <w:r>
        <w:fldChar w:fldCharType="end"/>
      </w:r>
    </w:p>
    <w:p w14:paraId="2A96B5CE" w14:textId="51580C1D"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hint="eastAsia"/>
          <w:shd w:val="clear" w:color="auto" w:fill="FCFCFC"/>
          <w:lang w:eastAsia="zh-CN"/>
        </w:rPr>
        <w:t>Here a denotes the Stages 1</w:t>
      </w:r>
      <w:r w:rsidRPr="00623D41">
        <w:rPr>
          <w:rFonts w:ascii="Calibri" w:eastAsiaTheme="minorEastAsia" w:hAnsi="Calibri" w:cs="Calibri" w:hint="eastAsia"/>
          <w:shd w:val="clear" w:color="auto" w:fill="FCFCFC"/>
          <w:lang w:eastAsia="zh-CN"/>
        </w:rPr>
        <w:t>–</w:t>
      </w:r>
      <w:r w:rsidRPr="00623D41">
        <w:rPr>
          <w:rFonts w:ascii="Calibri" w:eastAsiaTheme="minorEastAsia" w:hAnsi="Calibri" w:cs="Calibri" w:hint="eastAsia"/>
          <w:shd w:val="clear" w:color="auto" w:fill="FCFCFC"/>
          <w:lang w:eastAsia="zh-CN"/>
        </w:rPr>
        <w:t xml:space="preserve">2 fitted slope and is used only to make the normalization explicit; no additional numerical slope value is introduced. The normalization used the condition-specific fitted value </w:t>
      </w:r>
      <w:r w:rsidRPr="00623D41">
        <w:rPr>
          <w:rFonts w:ascii="Calibri" w:eastAsiaTheme="minorEastAsia" w:hAnsi="Calibri" w:cs="Calibri" w:hint="eastAsia"/>
          <w:shd w:val="clear" w:color="auto" w:fill="FCFCFC"/>
          <w:lang w:eastAsia="zh-CN"/>
        </w:rPr>
        <w:t>τ</w:t>
      </w:r>
      <w:r w:rsidRPr="00623D41">
        <w:rPr>
          <w:rFonts w:ascii="Calibri" w:eastAsiaTheme="minorEastAsia" w:hAnsi="Calibri" w:cs="Calibri" w:hint="eastAsia"/>
          <w:shd w:val="clear" w:color="auto" w:fill="FCFCFC"/>
          <w:lang w:eastAsia="zh-CN"/>
        </w:rPr>
        <w:t xml:space="preserve">c = 27.56 Pa. Stage 3 observations were expressed in the </w:t>
      </w:r>
      <w:r w:rsidRPr="00623D41">
        <w:rPr>
          <w:rFonts w:ascii="Calibri" w:eastAsiaTheme="minorEastAsia" w:hAnsi="Calibri" w:cs="Calibri" w:hint="eastAsia"/>
          <w:shd w:val="clear" w:color="auto" w:fill="FCFCFC"/>
          <w:lang w:eastAsia="zh-CN"/>
        </w:rPr>
        <w:lastRenderedPageBreak/>
        <w:t xml:space="preserve">same normalized space but were excluded from fitting. No independent erodibility measurement was used to obtain </w:t>
      </w:r>
      <w:r w:rsidRPr="00623D41">
        <w:rPr>
          <w:rFonts w:ascii="Calibri" w:eastAsiaTheme="minorEastAsia" w:hAnsi="Calibri" w:cs="Calibri" w:hint="eastAsia"/>
          <w:shd w:val="clear" w:color="auto" w:fill="FCFCFC"/>
          <w:lang w:eastAsia="zh-CN"/>
        </w:rPr>
        <w:t>τ</w:t>
      </w:r>
      <w:r w:rsidRPr="00623D41">
        <w:rPr>
          <w:rFonts w:ascii="Calibri" w:eastAsiaTheme="minorEastAsia" w:hAnsi="Calibri" w:cs="Calibri" w:hint="eastAsia"/>
          <w:shd w:val="clear" w:color="auto" w:fill="FCFCFC"/>
          <w:lang w:eastAsia="zh-CN"/>
        </w:rPr>
        <w:t>c, and agreement of the fitting observations with the baseline was calibration rather than independent validation.</w:t>
      </w:r>
    </w:p>
    <w:p w14:paraId="359E5B69" w14:textId="3C6952AB" w:rsidR="00623D41" w:rsidRPr="00331449" w:rsidRDefault="00623D41" w:rsidP="00623D41">
      <w:pPr>
        <w:pStyle w:val="IAHRfigure"/>
        <w:spacing w:line="480" w:lineRule="auto"/>
        <w:jc w:val="left"/>
        <w:rPr>
          <w:rFonts w:ascii="Calibri" w:eastAsiaTheme="minorEastAsia" w:hAnsi="Calibri" w:cs="Calibri"/>
          <w:b/>
          <w:bCs/>
          <w:shd w:val="clear" w:color="auto" w:fill="FCFCFC"/>
          <w:lang w:eastAsia="zh-CN"/>
        </w:rPr>
      </w:pPr>
      <w:r w:rsidRPr="00331449">
        <w:rPr>
          <w:rFonts w:ascii="Calibri" w:eastAsiaTheme="minorEastAsia" w:hAnsi="Calibri" w:cs="Calibri" w:hint="eastAsia"/>
          <w:b/>
          <w:bCs/>
          <w:shd w:val="clear" w:color="auto" w:fill="FCFCFC"/>
          <w:lang w:eastAsia="zh-CN"/>
        </w:rPr>
        <w:t>S2.5 Uncertainty sources and interpretation</w:t>
      </w:r>
    </w:p>
    <w:p w14:paraId="1796877C" w14:textId="2F953B58"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hint="eastAsia"/>
          <w:shd w:val="clear" w:color="auto" w:fill="FCFCFC"/>
          <w:lang w:eastAsia="zh-CN"/>
        </w:rPr>
        <w:t>Reservoir-level readings depended on staff-gauge graduation and image visibility. Differencing those readings and applying a moving window affected the temporal resolution of the discharge estimates. DEM registration and differencing, the discretely surveyed geometry, and the effective-flow duration affected E. Hydraulic estimates also depended on the reconstructed section geometry, water depth, total-head differences, and substitution of PIV surface velocity for depth-averaged velocity.</w:t>
      </w:r>
    </w:p>
    <w:p w14:paraId="622D9A44" w14:textId="0A842096" w:rsidR="00623D41" w:rsidRPr="00623D41" w:rsidRDefault="00623D41" w:rsidP="00623D41">
      <w:pPr>
        <w:pStyle w:val="IAHRfigure"/>
        <w:spacing w:line="480" w:lineRule="auto"/>
        <w:jc w:val="left"/>
        <w:rPr>
          <w:rFonts w:ascii="Calibri" w:eastAsiaTheme="minorEastAsia" w:hAnsi="Calibri" w:cs="Calibri"/>
          <w:shd w:val="clear" w:color="auto" w:fill="FCFCFC"/>
          <w:lang w:eastAsia="zh-CN"/>
        </w:rPr>
      </w:pPr>
      <w:r w:rsidRPr="00623D41">
        <w:rPr>
          <w:rFonts w:ascii="Calibri" w:eastAsiaTheme="minorEastAsia" w:hAnsi="Calibri" w:cs="Calibri" w:hint="eastAsia"/>
          <w:shd w:val="clear" w:color="auto" w:fill="FCFCFC"/>
          <w:lang w:eastAsia="zh-CN"/>
        </w:rPr>
        <w:t xml:space="preserve">Uncertainty from DEM differencing, effective time, water-level reading, and hydraulic estimation was not jointly propagated to E* and </w:t>
      </w:r>
      <w:r w:rsidRPr="00623D41">
        <w:rPr>
          <w:rFonts w:ascii="Calibri" w:eastAsiaTheme="minorEastAsia" w:hAnsi="Calibri" w:cs="Calibri" w:hint="eastAsia"/>
          <w:shd w:val="clear" w:color="auto" w:fill="FCFCFC"/>
          <w:lang w:eastAsia="zh-CN"/>
        </w:rPr>
        <w:t>τ</w:t>
      </w:r>
      <w:r w:rsidRPr="00623D41">
        <w:rPr>
          <w:rFonts w:ascii="Calibri" w:eastAsiaTheme="minorEastAsia" w:hAnsi="Calibri" w:cs="Calibri" w:hint="eastAsia"/>
          <w:shd w:val="clear" w:color="auto" w:fill="FCFCFC"/>
          <w:lang w:eastAsia="zh-CN"/>
        </w:rPr>
        <w:t>*. Stage comparisons therefore describe directional departures without assigning statistical significance or quantifying the separate contributions of continuous erosion and discrete material loss. The single experiment, controlled interruptions, and discrete DEM/PIV sampling further bounded mechanism interpretation, as discussed in the main Limitations section.</w:t>
      </w:r>
      <w:r>
        <w:rPr>
          <w:rFonts w:ascii="Calibri" w:eastAsiaTheme="minorEastAsia" w:hAnsi="Calibri" w:cs="Calibri"/>
          <w:shd w:val="clear" w:color="auto" w:fill="FCFCFC"/>
          <w:lang w:eastAsia="zh-CN"/>
        </w:rPr>
        <w:br w:type="page"/>
      </w:r>
    </w:p>
    <w:p w14:paraId="715D32D4" w14:textId="72294A1C" w:rsidR="009C78CF" w:rsidRPr="00B72691" w:rsidRDefault="00B72691" w:rsidP="00B72691">
      <w:pPr>
        <w:spacing w:beforeLines="50" w:before="156" w:line="360" w:lineRule="auto"/>
        <w:outlineLvl w:val="1"/>
        <w:rPr>
          <w:rFonts w:ascii="Calibri" w:hAnsi="Calibri" w:cs="Calibri"/>
          <w:b/>
          <w:bCs/>
          <w:color w:val="000000" w:themeColor="text1"/>
          <w:sz w:val="22"/>
        </w:rPr>
      </w:pPr>
      <w:r w:rsidRPr="00B72691">
        <w:rPr>
          <w:rFonts w:ascii="Calibri" w:hAnsi="Calibri" w:cs="Calibri" w:hint="eastAsia"/>
          <w:b/>
          <w:bCs/>
          <w:color w:val="000000" w:themeColor="text1"/>
          <w:sz w:val="22"/>
        </w:rPr>
        <w:lastRenderedPageBreak/>
        <w:t>Figure S2. Laboratory apparatus used for geotechnical characterization</w:t>
      </w:r>
    </w:p>
    <w:p w14:paraId="52913016" w14:textId="0F383028" w:rsidR="00B72691" w:rsidRDefault="00C42685" w:rsidP="002D155A">
      <w:pPr>
        <w:spacing w:before="120"/>
        <w:jc w:val="center"/>
        <w:rPr>
          <w:rFonts w:ascii="Calibri" w:hAnsi="Calibri" w:cs="Calibri"/>
          <w:vertAlign w:val="superscript"/>
        </w:rPr>
      </w:pPr>
      <w:r>
        <w:rPr>
          <w:rFonts w:ascii="Calibri" w:hAnsi="Calibri" w:cs="Calibri"/>
          <w:noProof/>
          <w:vertAlign w:val="superscript"/>
        </w:rPr>
        <w:drawing>
          <wp:inline distT="0" distB="0" distL="0" distR="0" wp14:anchorId="51E7EDDD" wp14:editId="2191029A">
            <wp:extent cx="5040000" cy="2886161"/>
            <wp:effectExtent l="0" t="0" r="8255" b="9525"/>
            <wp:docPr id="773828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40000" cy="2886161"/>
                    </a:xfrm>
                    <a:prstGeom prst="rect">
                      <a:avLst/>
                    </a:prstGeom>
                    <a:noFill/>
                  </pic:spPr>
                </pic:pic>
              </a:graphicData>
            </a:graphic>
          </wp:inline>
        </w:drawing>
      </w:r>
    </w:p>
    <w:p w14:paraId="38B0D4CA" w14:textId="72E025D7" w:rsidR="00646D1B" w:rsidRPr="00D56A0D" w:rsidRDefault="00646D1B" w:rsidP="00646D1B">
      <w:pPr>
        <w:pStyle w:val="IAHRfigure"/>
        <w:spacing w:line="480" w:lineRule="auto"/>
        <w:jc w:val="both"/>
        <w:rPr>
          <w:rFonts w:ascii="Calibri" w:eastAsiaTheme="minorEastAsia" w:hAnsi="Calibri" w:cs="Calibri"/>
          <w:shd w:val="clear" w:color="auto" w:fill="FCFCFC"/>
          <w:lang w:eastAsia="zh-CN"/>
        </w:rPr>
      </w:pPr>
      <w:r w:rsidRPr="00646D1B">
        <w:rPr>
          <w:rFonts w:ascii="Calibri" w:hAnsi="Calibri" w:cs="Calibri" w:hint="eastAsia"/>
          <w:b/>
          <w:bCs/>
          <w:shd w:val="clear" w:color="auto" w:fill="FCFCFC"/>
        </w:rPr>
        <w:t xml:space="preserve">Figure S2. </w:t>
      </w:r>
      <w:r w:rsidRPr="003605E1">
        <w:rPr>
          <w:rFonts w:ascii="Calibri" w:hAnsi="Calibri" w:cs="Calibri" w:hint="eastAsia"/>
          <w:shd w:val="clear" w:color="auto" w:fill="FCFCFC"/>
        </w:rPr>
        <w:t>Laboratory apparatus used for geotechnical characterization of the field-sourced fill. (a) Fall-cone apparatus used to determine the Atterberg limits in accordance with GB/T 50123-2019. (b) Pycnometer and balance used to determine the specific gravity of soil solids.</w:t>
      </w:r>
      <w:r w:rsidR="00D56A0D">
        <w:rPr>
          <w:rFonts w:ascii="Calibri" w:hAnsi="Calibri" w:cs="Calibri"/>
          <w:shd w:val="clear" w:color="auto" w:fill="FCFCFC"/>
        </w:rPr>
        <w:br w:type="page"/>
      </w:r>
    </w:p>
    <w:p w14:paraId="6F46E7A0" w14:textId="611056D0" w:rsidR="003605E1" w:rsidRPr="003B2ADB" w:rsidRDefault="003B2ADB" w:rsidP="003B2ADB">
      <w:pPr>
        <w:spacing w:beforeLines="50" w:before="156" w:line="360" w:lineRule="auto"/>
        <w:outlineLvl w:val="1"/>
        <w:rPr>
          <w:rFonts w:ascii="Calibri" w:hAnsi="Calibri" w:cs="Calibri"/>
          <w:b/>
          <w:bCs/>
          <w:color w:val="000000" w:themeColor="text1"/>
          <w:sz w:val="22"/>
        </w:rPr>
      </w:pPr>
      <w:r w:rsidRPr="003B2ADB">
        <w:rPr>
          <w:rFonts w:ascii="Calibri" w:hAnsi="Calibri" w:cs="Calibri" w:hint="eastAsia"/>
          <w:b/>
          <w:bCs/>
          <w:color w:val="000000" w:themeColor="text1"/>
          <w:sz w:val="22"/>
        </w:rPr>
        <w:lastRenderedPageBreak/>
        <w:t>Figure S3. UAV platforms and assigned observation tasks</w:t>
      </w:r>
    </w:p>
    <w:p w14:paraId="746B5E18" w14:textId="43E18434" w:rsidR="003B2ADB" w:rsidRDefault="00D56A0D" w:rsidP="002D155A">
      <w:pPr>
        <w:pStyle w:val="IAHRfigure"/>
        <w:spacing w:line="480" w:lineRule="auto"/>
        <w:rPr>
          <w:rFonts w:ascii="Calibri" w:eastAsiaTheme="minorEastAsia" w:hAnsi="Calibri" w:cs="Calibri"/>
          <w:b/>
          <w:bCs/>
          <w:shd w:val="clear" w:color="auto" w:fill="FCFCFC"/>
          <w:lang w:eastAsia="zh-CN"/>
        </w:rPr>
      </w:pPr>
      <w:r>
        <w:rPr>
          <w:rFonts w:ascii="Calibri" w:eastAsiaTheme="minorEastAsia" w:hAnsi="Calibri" w:cs="Calibri"/>
          <w:b/>
          <w:bCs/>
          <w:shd w:val="clear" w:color="auto" w:fill="FCFCFC"/>
          <w:lang w:eastAsia="zh-CN"/>
        </w:rPr>
        <w:drawing>
          <wp:inline distT="0" distB="0" distL="0" distR="0" wp14:anchorId="7D2E117E" wp14:editId="2B3A4BCF">
            <wp:extent cx="5040000" cy="1591732"/>
            <wp:effectExtent l="0" t="0" r="0" b="8890"/>
            <wp:docPr id="11018269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000" cy="1591732"/>
                    </a:xfrm>
                    <a:prstGeom prst="rect">
                      <a:avLst/>
                    </a:prstGeom>
                    <a:noFill/>
                  </pic:spPr>
                </pic:pic>
              </a:graphicData>
            </a:graphic>
          </wp:inline>
        </w:drawing>
      </w:r>
    </w:p>
    <w:p w14:paraId="0F15D5EE" w14:textId="7577873A" w:rsidR="000D6F92" w:rsidRDefault="00D56A0D" w:rsidP="00646D1B">
      <w:pPr>
        <w:pStyle w:val="IAHRfigure"/>
        <w:spacing w:line="480" w:lineRule="auto"/>
        <w:jc w:val="both"/>
        <w:rPr>
          <w:rFonts w:ascii="Calibri" w:hAnsi="Calibri" w:cs="Calibri"/>
          <w:shd w:val="clear" w:color="auto" w:fill="FCFCFC"/>
        </w:rPr>
      </w:pPr>
      <w:r w:rsidRPr="00D56A0D">
        <w:rPr>
          <w:rFonts w:ascii="Calibri" w:hAnsi="Calibri" w:cs="Calibri" w:hint="eastAsia"/>
          <w:b/>
          <w:bCs/>
          <w:shd w:val="clear" w:color="auto" w:fill="FCFCFC"/>
        </w:rPr>
        <w:t xml:space="preserve">Figure S3. </w:t>
      </w:r>
      <w:r w:rsidRPr="00DC73B7">
        <w:rPr>
          <w:rFonts w:ascii="Calibri" w:hAnsi="Calibri" w:cs="Calibri" w:hint="eastAsia"/>
          <w:shd w:val="clear" w:color="auto" w:fill="FCFCFC"/>
        </w:rPr>
        <w:t>Unmanned aerial vehicle (UAV) platforms and assigned observation tasks. (a) DJI Mavic Air, used by UAV Groups 1 and 3 to record the fixed staff gauges and continuous oblique 4K video of headcut development, cracking, and block loss, respectively. (b) HKUAV-VFV-X4, used by UAV Group 2 to image surface tracers above the breach for particle image velocimetry. (c) DJI Phantom 4, used by UAV Group 4 to acquire multi-angle, high-overlap oblique photographs of the drained breach surface for topographic reconstruction.</w:t>
      </w:r>
      <w:r w:rsidR="000D6F92">
        <w:rPr>
          <w:rFonts w:ascii="Calibri" w:hAnsi="Calibri" w:cs="Calibri"/>
          <w:shd w:val="clear" w:color="auto" w:fill="FCFCFC"/>
        </w:rPr>
        <w:br w:type="page"/>
      </w:r>
    </w:p>
    <w:p w14:paraId="058BA56C" w14:textId="50B4801F" w:rsidR="00D56A0D" w:rsidRPr="000D6F92" w:rsidRDefault="000D6F92" w:rsidP="000D6F92">
      <w:pPr>
        <w:spacing w:beforeLines="50" w:before="156" w:line="360" w:lineRule="auto"/>
        <w:outlineLvl w:val="1"/>
        <w:rPr>
          <w:rFonts w:ascii="Calibri" w:hAnsi="Calibri" w:cs="Calibri"/>
          <w:b/>
          <w:bCs/>
          <w:color w:val="000000" w:themeColor="text1"/>
          <w:sz w:val="22"/>
        </w:rPr>
      </w:pPr>
      <w:r w:rsidRPr="000D6F92">
        <w:rPr>
          <w:rFonts w:ascii="Calibri" w:hAnsi="Calibri" w:cs="Calibri" w:hint="eastAsia"/>
          <w:b/>
          <w:bCs/>
          <w:color w:val="000000" w:themeColor="text1"/>
          <w:sz w:val="22"/>
        </w:rPr>
        <w:lastRenderedPageBreak/>
        <w:t>Figure S4. Oblique UAV acquisition and SfM photogrammetric reconstruction workflow</w:t>
      </w:r>
    </w:p>
    <w:p w14:paraId="2D1BF07A" w14:textId="75819F45" w:rsidR="000D6F92" w:rsidRDefault="002D155A" w:rsidP="002D155A">
      <w:pPr>
        <w:pStyle w:val="IAHRfigure"/>
        <w:spacing w:line="480" w:lineRule="auto"/>
        <w:rPr>
          <w:rFonts w:ascii="Calibri" w:eastAsiaTheme="minorEastAsia" w:hAnsi="Calibri" w:cs="Calibri"/>
          <w:b/>
          <w:bCs/>
          <w:shd w:val="clear" w:color="auto" w:fill="FCFCFC"/>
          <w:lang w:eastAsia="zh-CN"/>
        </w:rPr>
      </w:pPr>
      <w:r>
        <w:rPr>
          <w:rFonts w:ascii="Calibri" w:eastAsiaTheme="minorEastAsia" w:hAnsi="Calibri" w:cs="Calibri"/>
          <w:b/>
          <w:bCs/>
          <w:shd w:val="clear" w:color="auto" w:fill="FCFCFC"/>
          <w:lang w:eastAsia="zh-CN"/>
        </w:rPr>
        <w:drawing>
          <wp:inline distT="0" distB="0" distL="0" distR="0" wp14:anchorId="53301C83" wp14:editId="45CDD043">
            <wp:extent cx="5040000" cy="2936494"/>
            <wp:effectExtent l="0" t="0" r="8255" b="0"/>
            <wp:docPr id="16874730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40000" cy="2936494"/>
                    </a:xfrm>
                    <a:prstGeom prst="rect">
                      <a:avLst/>
                    </a:prstGeom>
                    <a:noFill/>
                  </pic:spPr>
                </pic:pic>
              </a:graphicData>
            </a:graphic>
          </wp:inline>
        </w:drawing>
      </w:r>
    </w:p>
    <w:p w14:paraId="59EBF1C5" w14:textId="4F1A7A2C" w:rsidR="002D155A" w:rsidRPr="000D6F92" w:rsidRDefault="002D155A" w:rsidP="002D155A">
      <w:pPr>
        <w:pStyle w:val="IAHRfigure"/>
        <w:spacing w:line="480" w:lineRule="auto"/>
        <w:jc w:val="both"/>
        <w:rPr>
          <w:rFonts w:ascii="Calibri" w:eastAsiaTheme="minorEastAsia" w:hAnsi="Calibri" w:cs="Calibri"/>
          <w:b/>
          <w:bCs/>
          <w:shd w:val="clear" w:color="auto" w:fill="FCFCFC"/>
          <w:lang w:eastAsia="zh-CN"/>
        </w:rPr>
      </w:pPr>
      <w:r w:rsidRPr="002D155A">
        <w:rPr>
          <w:rFonts w:ascii="Calibri" w:eastAsiaTheme="minorEastAsia" w:hAnsi="Calibri" w:cs="Calibri" w:hint="eastAsia"/>
          <w:b/>
          <w:bCs/>
          <w:shd w:val="clear" w:color="auto" w:fill="FCFCFC"/>
          <w:lang w:eastAsia="zh-CN"/>
        </w:rPr>
        <w:t xml:space="preserve">Figure S4. </w:t>
      </w:r>
      <w:r w:rsidRPr="002D155A">
        <w:rPr>
          <w:rFonts w:ascii="Calibri" w:eastAsiaTheme="minorEastAsia" w:hAnsi="Calibri" w:cs="Calibri" w:hint="eastAsia"/>
          <w:shd w:val="clear" w:color="auto" w:fill="FCFCFC"/>
          <w:lang w:eastAsia="zh-CN"/>
        </w:rPr>
        <w:t>Oblique UAV acquisition and structure-from-motion (SfM) photogrammetric reconstruction workflow. (a) UAV Group 4 acquiring multi-angle, high-overlap oblique photographs of the drained breach surface along a preplanned flight path. (b) DJI Terra workspace used for image alignment, dense point-cloud generation, georeferencing with ground control points and surveyed reference elevations, and surface reconstruction. The resulting georeferenced point clouds and digital elevation models were used for stage-specific topographic differencing and profile extraction.</w:t>
      </w:r>
    </w:p>
    <w:sectPr w:rsidR="002D155A" w:rsidRPr="000D6F92" w:rsidSect="00C323B1">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DA9F" w14:textId="77777777" w:rsidR="00E16FF8" w:rsidRDefault="00E16FF8" w:rsidP="009E679C">
      <w:pPr>
        <w:rPr>
          <w:rFonts w:hint="eastAsia"/>
        </w:rPr>
      </w:pPr>
      <w:r>
        <w:separator/>
      </w:r>
    </w:p>
  </w:endnote>
  <w:endnote w:type="continuationSeparator" w:id="0">
    <w:p w14:paraId="63FAB9D5" w14:textId="77777777" w:rsidR="00E16FF8" w:rsidRDefault="00E16FF8" w:rsidP="009E67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9824" w14:textId="77777777" w:rsidR="00FD25C2" w:rsidRDefault="00FD25C2">
    <w:pPr>
      <w:pStyle w:val="a5"/>
      <w:ind w:firstLine="360"/>
      <w:rPr>
        <w:rFonts w:hint="eastAsia"/>
      </w:rPr>
    </w:pPr>
  </w:p>
  <w:p w14:paraId="3C31F894" w14:textId="77777777" w:rsidR="00FD25C2" w:rsidRDefault="00FD25C2">
    <w:pPr>
      <w:rPr>
        <w:rFonts w:hint="eastAsia"/>
      </w:rPr>
    </w:pPr>
  </w:p>
  <w:p w14:paraId="1E104590" w14:textId="77777777" w:rsidR="00FD25C2" w:rsidRDefault="00FD25C2">
    <w:pPr>
      <w:rPr>
        <w:rFonts w:hint="eastAsia"/>
      </w:rPr>
    </w:pPr>
  </w:p>
  <w:p w14:paraId="28FBBD7D" w14:textId="77777777" w:rsidR="00FD25C2" w:rsidRDefault="00FD25C2">
    <w:pPr>
      <w:rPr>
        <w:rFonts w:hint="eastAsia"/>
      </w:rPr>
    </w:pPr>
  </w:p>
  <w:p w14:paraId="38DED17C" w14:textId="77777777" w:rsidR="00FD25C2" w:rsidRDefault="00FD25C2">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5C62" w14:textId="77777777" w:rsidR="00FD25C2" w:rsidRDefault="00FD25C2">
    <w:pPr>
      <w:pStyle w:val="a5"/>
      <w:ind w:firstLine="360"/>
      <w:jc w:val="center"/>
      <w:rPr>
        <w:rFonts w:hint="eastAsia"/>
      </w:rPr>
    </w:pPr>
    <w:r>
      <w:fldChar w:fldCharType="begin"/>
    </w:r>
    <w:r>
      <w:instrText>PAGE   \* MERGEFORMAT</w:instrText>
    </w:r>
    <w:r>
      <w:fldChar w:fldCharType="separate"/>
    </w:r>
    <w:r>
      <w:rPr>
        <w:lang w:val="zh-CN"/>
      </w:rPr>
      <w:t>2</w:t>
    </w:r>
    <w:r>
      <w:fldChar w:fldCharType="end"/>
    </w:r>
  </w:p>
  <w:p w14:paraId="4EB413F0" w14:textId="77777777" w:rsidR="00FD25C2" w:rsidRDefault="00FD25C2">
    <w:pPr>
      <w:pStyle w:val="a5"/>
      <w:ind w:firstLine="360"/>
      <w:rPr>
        <w:rFonts w:hint="eastAsia"/>
      </w:rPr>
    </w:pPr>
  </w:p>
  <w:p w14:paraId="648DDA22" w14:textId="77777777" w:rsidR="00FD25C2" w:rsidRDefault="00FD25C2">
    <w:pPr>
      <w:rPr>
        <w:rFonts w:hint="eastAsia"/>
      </w:rPr>
    </w:pPr>
  </w:p>
  <w:p w14:paraId="2596E453" w14:textId="77777777" w:rsidR="00FD25C2" w:rsidRDefault="00FD25C2">
    <w:pPr>
      <w:rPr>
        <w:rFonts w:hint="eastAsia"/>
      </w:rPr>
    </w:pPr>
  </w:p>
  <w:p w14:paraId="730CF080" w14:textId="77777777" w:rsidR="00FD25C2" w:rsidRDefault="00FD25C2">
    <w:pPr>
      <w:rPr>
        <w:rFonts w:hint="eastAsia"/>
      </w:rPr>
    </w:pPr>
  </w:p>
  <w:p w14:paraId="2BE8A7D1" w14:textId="77777777" w:rsidR="00FD25C2" w:rsidRDefault="00FD25C2">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8E22" w14:textId="77777777" w:rsidR="00FD25C2" w:rsidRDefault="00FD25C2">
    <w:pPr>
      <w:pStyle w:val="a5"/>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6156C" w14:textId="77777777" w:rsidR="00E16FF8" w:rsidRDefault="00E16FF8" w:rsidP="009E679C">
      <w:pPr>
        <w:rPr>
          <w:rFonts w:hint="eastAsia"/>
        </w:rPr>
      </w:pPr>
      <w:r>
        <w:separator/>
      </w:r>
    </w:p>
  </w:footnote>
  <w:footnote w:type="continuationSeparator" w:id="0">
    <w:p w14:paraId="627873D1" w14:textId="77777777" w:rsidR="00E16FF8" w:rsidRDefault="00E16FF8" w:rsidP="009E679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2774" w14:textId="77777777" w:rsidR="00FD25C2" w:rsidRDefault="00FD25C2">
    <w:pPr>
      <w:pStyle w:val="a3"/>
      <w:ind w:firstLine="360"/>
      <w:rPr>
        <w:rFonts w:hint="eastAsia"/>
      </w:rPr>
    </w:pPr>
  </w:p>
  <w:p w14:paraId="0745702F" w14:textId="77777777" w:rsidR="00FD25C2" w:rsidRDefault="00FD25C2">
    <w:pPr>
      <w:rPr>
        <w:rFonts w:hint="eastAsia"/>
      </w:rPr>
    </w:pPr>
  </w:p>
  <w:p w14:paraId="1A9164A3" w14:textId="77777777" w:rsidR="00FD25C2" w:rsidRDefault="00FD25C2">
    <w:pPr>
      <w:rPr>
        <w:rFonts w:hint="eastAsia"/>
      </w:rPr>
    </w:pPr>
  </w:p>
  <w:p w14:paraId="5A3AFF6B" w14:textId="77777777" w:rsidR="00FD25C2" w:rsidRDefault="00FD25C2">
    <w:pPr>
      <w:rPr>
        <w:rFonts w:hint="eastAsia"/>
      </w:rPr>
    </w:pPr>
  </w:p>
  <w:p w14:paraId="02578407" w14:textId="77777777" w:rsidR="00FD25C2" w:rsidRDefault="00FD25C2">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A919A" w14:textId="77777777" w:rsidR="00FD25C2" w:rsidRDefault="00FD25C2">
    <w:pPr>
      <w:pStyle w:val="a3"/>
      <w:ind w:firstLine="360"/>
      <w:rPr>
        <w:rFonts w:hint="eastAsia"/>
      </w:rPr>
    </w:pPr>
  </w:p>
  <w:p w14:paraId="71EEF18D" w14:textId="77777777" w:rsidR="00FD25C2" w:rsidRDefault="00FD25C2">
    <w:pPr>
      <w:rPr>
        <w:rFonts w:hint="eastAsia"/>
      </w:rPr>
    </w:pPr>
  </w:p>
  <w:p w14:paraId="64456D5C" w14:textId="77777777" w:rsidR="00FD25C2" w:rsidRDefault="00FD25C2">
    <w:pPr>
      <w:rPr>
        <w:rFonts w:hint="eastAsia"/>
      </w:rPr>
    </w:pPr>
  </w:p>
  <w:p w14:paraId="72D91402" w14:textId="77777777" w:rsidR="00FD25C2" w:rsidRDefault="00FD25C2">
    <w:pPr>
      <w:rPr>
        <w:rFonts w:hint="eastAsia"/>
      </w:rPr>
    </w:pPr>
  </w:p>
  <w:p w14:paraId="5283C9F2" w14:textId="77777777" w:rsidR="00FD25C2" w:rsidRDefault="00FD25C2">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0919" w14:textId="77777777" w:rsidR="00FD25C2" w:rsidRDefault="00FD25C2">
    <w:pPr>
      <w:pStyle w:val="a3"/>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57"/>
    <w:rsid w:val="00001AA5"/>
    <w:rsid w:val="00003395"/>
    <w:rsid w:val="0003310F"/>
    <w:rsid w:val="00067A18"/>
    <w:rsid w:val="000773CE"/>
    <w:rsid w:val="00082BAF"/>
    <w:rsid w:val="00092E95"/>
    <w:rsid w:val="0009768B"/>
    <w:rsid w:val="0009797C"/>
    <w:rsid w:val="000A04E5"/>
    <w:rsid w:val="000D37F4"/>
    <w:rsid w:val="000D6F92"/>
    <w:rsid w:val="001678D6"/>
    <w:rsid w:val="00177503"/>
    <w:rsid w:val="00191AB1"/>
    <w:rsid w:val="001948F5"/>
    <w:rsid w:val="001A33E7"/>
    <w:rsid w:val="001D2F20"/>
    <w:rsid w:val="001E4E22"/>
    <w:rsid w:val="001E4F7B"/>
    <w:rsid w:val="001F4F65"/>
    <w:rsid w:val="0020140B"/>
    <w:rsid w:val="0020686E"/>
    <w:rsid w:val="00235DB0"/>
    <w:rsid w:val="002600C1"/>
    <w:rsid w:val="00263D41"/>
    <w:rsid w:val="002B34BE"/>
    <w:rsid w:val="002C7178"/>
    <w:rsid w:val="002D155A"/>
    <w:rsid w:val="002D3305"/>
    <w:rsid w:val="002D5972"/>
    <w:rsid w:val="00313A24"/>
    <w:rsid w:val="00331449"/>
    <w:rsid w:val="00334488"/>
    <w:rsid w:val="0035321A"/>
    <w:rsid w:val="003605E1"/>
    <w:rsid w:val="003701F8"/>
    <w:rsid w:val="00387F2C"/>
    <w:rsid w:val="00390BED"/>
    <w:rsid w:val="003B28F3"/>
    <w:rsid w:val="003B2ADB"/>
    <w:rsid w:val="003D43AC"/>
    <w:rsid w:val="003F2BA0"/>
    <w:rsid w:val="004072C0"/>
    <w:rsid w:val="00410E30"/>
    <w:rsid w:val="00430E4E"/>
    <w:rsid w:val="00436628"/>
    <w:rsid w:val="00437373"/>
    <w:rsid w:val="0046169B"/>
    <w:rsid w:val="00490E05"/>
    <w:rsid w:val="004B7883"/>
    <w:rsid w:val="004C41EF"/>
    <w:rsid w:val="004E2B59"/>
    <w:rsid w:val="004F6851"/>
    <w:rsid w:val="00504756"/>
    <w:rsid w:val="00506953"/>
    <w:rsid w:val="00540FD2"/>
    <w:rsid w:val="00552F64"/>
    <w:rsid w:val="00556553"/>
    <w:rsid w:val="00560B5D"/>
    <w:rsid w:val="00561278"/>
    <w:rsid w:val="0056404D"/>
    <w:rsid w:val="00580C90"/>
    <w:rsid w:val="005923CB"/>
    <w:rsid w:val="00595AE9"/>
    <w:rsid w:val="005B4810"/>
    <w:rsid w:val="005B5E79"/>
    <w:rsid w:val="005D7AF7"/>
    <w:rsid w:val="00601A0F"/>
    <w:rsid w:val="00623D41"/>
    <w:rsid w:val="0063261A"/>
    <w:rsid w:val="00635683"/>
    <w:rsid w:val="00642936"/>
    <w:rsid w:val="00644E0E"/>
    <w:rsid w:val="00646D1B"/>
    <w:rsid w:val="006715D1"/>
    <w:rsid w:val="0067593E"/>
    <w:rsid w:val="006814FB"/>
    <w:rsid w:val="006A61D9"/>
    <w:rsid w:val="006C2FDA"/>
    <w:rsid w:val="006D6E97"/>
    <w:rsid w:val="006F3C7D"/>
    <w:rsid w:val="00702FA3"/>
    <w:rsid w:val="00723017"/>
    <w:rsid w:val="0073634F"/>
    <w:rsid w:val="00755FCF"/>
    <w:rsid w:val="007616BD"/>
    <w:rsid w:val="00763BAC"/>
    <w:rsid w:val="0076624D"/>
    <w:rsid w:val="00773455"/>
    <w:rsid w:val="00777797"/>
    <w:rsid w:val="007A2BCF"/>
    <w:rsid w:val="007A3974"/>
    <w:rsid w:val="007A7CBD"/>
    <w:rsid w:val="007B19E3"/>
    <w:rsid w:val="007C2ABC"/>
    <w:rsid w:val="007D4045"/>
    <w:rsid w:val="007D60AA"/>
    <w:rsid w:val="007E3C82"/>
    <w:rsid w:val="00806AA7"/>
    <w:rsid w:val="00816C3A"/>
    <w:rsid w:val="00865C31"/>
    <w:rsid w:val="00884DB9"/>
    <w:rsid w:val="00887153"/>
    <w:rsid w:val="008B35F1"/>
    <w:rsid w:val="008C17E2"/>
    <w:rsid w:val="008D6FAF"/>
    <w:rsid w:val="008E22DE"/>
    <w:rsid w:val="0091667A"/>
    <w:rsid w:val="00925BA4"/>
    <w:rsid w:val="00936408"/>
    <w:rsid w:val="009438ED"/>
    <w:rsid w:val="00952F5A"/>
    <w:rsid w:val="009566B5"/>
    <w:rsid w:val="00971327"/>
    <w:rsid w:val="00971B14"/>
    <w:rsid w:val="009752A7"/>
    <w:rsid w:val="009838D4"/>
    <w:rsid w:val="009940DC"/>
    <w:rsid w:val="009950A8"/>
    <w:rsid w:val="009B13E3"/>
    <w:rsid w:val="009C78CF"/>
    <w:rsid w:val="009D6F2E"/>
    <w:rsid w:val="009E679C"/>
    <w:rsid w:val="00A00D0F"/>
    <w:rsid w:val="00A00F37"/>
    <w:rsid w:val="00A140F9"/>
    <w:rsid w:val="00A15133"/>
    <w:rsid w:val="00A2476C"/>
    <w:rsid w:val="00A329A8"/>
    <w:rsid w:val="00A435F5"/>
    <w:rsid w:val="00A52822"/>
    <w:rsid w:val="00A54A3C"/>
    <w:rsid w:val="00A6109C"/>
    <w:rsid w:val="00A70062"/>
    <w:rsid w:val="00A71052"/>
    <w:rsid w:val="00A84506"/>
    <w:rsid w:val="00A87BC7"/>
    <w:rsid w:val="00A95643"/>
    <w:rsid w:val="00A9653A"/>
    <w:rsid w:val="00AA230E"/>
    <w:rsid w:val="00AF1F57"/>
    <w:rsid w:val="00B174CC"/>
    <w:rsid w:val="00B17D14"/>
    <w:rsid w:val="00B21D8A"/>
    <w:rsid w:val="00B27F29"/>
    <w:rsid w:val="00B72691"/>
    <w:rsid w:val="00B758AA"/>
    <w:rsid w:val="00B76874"/>
    <w:rsid w:val="00BA4AC3"/>
    <w:rsid w:val="00BB691F"/>
    <w:rsid w:val="00BB6E05"/>
    <w:rsid w:val="00BE5AC6"/>
    <w:rsid w:val="00BF21E6"/>
    <w:rsid w:val="00C03E6D"/>
    <w:rsid w:val="00C243AD"/>
    <w:rsid w:val="00C323B1"/>
    <w:rsid w:val="00C37EC2"/>
    <w:rsid w:val="00C42685"/>
    <w:rsid w:val="00C42DA1"/>
    <w:rsid w:val="00C47F4E"/>
    <w:rsid w:val="00C621B3"/>
    <w:rsid w:val="00C71801"/>
    <w:rsid w:val="00C7317D"/>
    <w:rsid w:val="00C84B6D"/>
    <w:rsid w:val="00C91457"/>
    <w:rsid w:val="00CD5435"/>
    <w:rsid w:val="00CD7AA0"/>
    <w:rsid w:val="00CF56E7"/>
    <w:rsid w:val="00CF784E"/>
    <w:rsid w:val="00D079B8"/>
    <w:rsid w:val="00D36846"/>
    <w:rsid w:val="00D41498"/>
    <w:rsid w:val="00D41B9E"/>
    <w:rsid w:val="00D42D16"/>
    <w:rsid w:val="00D43EBF"/>
    <w:rsid w:val="00D56A0D"/>
    <w:rsid w:val="00D61B12"/>
    <w:rsid w:val="00D632B6"/>
    <w:rsid w:val="00D7107B"/>
    <w:rsid w:val="00D71D07"/>
    <w:rsid w:val="00D77395"/>
    <w:rsid w:val="00D81152"/>
    <w:rsid w:val="00D8145D"/>
    <w:rsid w:val="00D90C5A"/>
    <w:rsid w:val="00DA0969"/>
    <w:rsid w:val="00DA18A9"/>
    <w:rsid w:val="00DC73B7"/>
    <w:rsid w:val="00DF7319"/>
    <w:rsid w:val="00E07785"/>
    <w:rsid w:val="00E16523"/>
    <w:rsid w:val="00E16FF8"/>
    <w:rsid w:val="00E31802"/>
    <w:rsid w:val="00E43A80"/>
    <w:rsid w:val="00E700C2"/>
    <w:rsid w:val="00E71669"/>
    <w:rsid w:val="00E85F44"/>
    <w:rsid w:val="00E939C5"/>
    <w:rsid w:val="00E97AC1"/>
    <w:rsid w:val="00EA020A"/>
    <w:rsid w:val="00EA3637"/>
    <w:rsid w:val="00EA3F70"/>
    <w:rsid w:val="00EA5848"/>
    <w:rsid w:val="00EB43B8"/>
    <w:rsid w:val="00EC4587"/>
    <w:rsid w:val="00EE3384"/>
    <w:rsid w:val="00EE5B2F"/>
    <w:rsid w:val="00F06F27"/>
    <w:rsid w:val="00F154E3"/>
    <w:rsid w:val="00F17D18"/>
    <w:rsid w:val="00F3572A"/>
    <w:rsid w:val="00F5299F"/>
    <w:rsid w:val="00F55C40"/>
    <w:rsid w:val="00F611F8"/>
    <w:rsid w:val="00F95B57"/>
    <w:rsid w:val="00FA30BF"/>
    <w:rsid w:val="00FB4509"/>
    <w:rsid w:val="00FB4B52"/>
    <w:rsid w:val="00FB7AB5"/>
    <w:rsid w:val="00FD25C2"/>
    <w:rsid w:val="00FF1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C4D55"/>
  <w15:chartTrackingRefBased/>
  <w15:docId w15:val="{767E6B6C-D647-4B4C-971C-565A06B2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679C"/>
    <w:pPr>
      <w:tabs>
        <w:tab w:val="center" w:pos="4153"/>
        <w:tab w:val="right" w:pos="8306"/>
      </w:tabs>
      <w:snapToGrid w:val="0"/>
      <w:jc w:val="center"/>
    </w:pPr>
    <w:rPr>
      <w:sz w:val="18"/>
      <w:szCs w:val="18"/>
    </w:rPr>
  </w:style>
  <w:style w:type="character" w:customStyle="1" w:styleId="a4">
    <w:name w:val="页眉 字符"/>
    <w:basedOn w:val="a0"/>
    <w:link w:val="a3"/>
    <w:uiPriority w:val="99"/>
    <w:rsid w:val="009E679C"/>
    <w:rPr>
      <w:sz w:val="18"/>
      <w:szCs w:val="18"/>
    </w:rPr>
  </w:style>
  <w:style w:type="paragraph" w:styleId="a5">
    <w:name w:val="footer"/>
    <w:basedOn w:val="a"/>
    <w:link w:val="a6"/>
    <w:uiPriority w:val="99"/>
    <w:unhideWhenUsed/>
    <w:rsid w:val="009E679C"/>
    <w:pPr>
      <w:tabs>
        <w:tab w:val="center" w:pos="4153"/>
        <w:tab w:val="right" w:pos="8306"/>
      </w:tabs>
      <w:snapToGrid w:val="0"/>
      <w:jc w:val="left"/>
    </w:pPr>
    <w:rPr>
      <w:sz w:val="18"/>
      <w:szCs w:val="18"/>
    </w:rPr>
  </w:style>
  <w:style w:type="character" w:customStyle="1" w:styleId="a6">
    <w:name w:val="页脚 字符"/>
    <w:basedOn w:val="a0"/>
    <w:link w:val="a5"/>
    <w:uiPriority w:val="99"/>
    <w:rsid w:val="009E679C"/>
    <w:rPr>
      <w:sz w:val="18"/>
      <w:szCs w:val="18"/>
    </w:rPr>
  </w:style>
  <w:style w:type="paragraph" w:customStyle="1" w:styleId="Text">
    <w:name w:val="Text"/>
    <w:basedOn w:val="a"/>
    <w:link w:val="Text0"/>
    <w:rsid w:val="009E679C"/>
    <w:pPr>
      <w:widowControl/>
      <w:spacing w:before="120"/>
      <w:ind w:firstLine="720"/>
      <w:jc w:val="left"/>
    </w:pPr>
    <w:rPr>
      <w:rFonts w:ascii="Times New Roman" w:eastAsia="Times New Roman" w:hAnsi="Times New Roman" w:cs="Times New Roman"/>
      <w:kern w:val="0"/>
      <w:sz w:val="24"/>
      <w:szCs w:val="24"/>
      <w:lang w:eastAsia="en-US"/>
    </w:rPr>
  </w:style>
  <w:style w:type="character" w:customStyle="1" w:styleId="Text0">
    <w:name w:val="Text 字符"/>
    <w:basedOn w:val="a0"/>
    <w:link w:val="Text"/>
    <w:rsid w:val="009E679C"/>
    <w:rPr>
      <w:rFonts w:ascii="Times New Roman" w:eastAsia="Times New Roman" w:hAnsi="Times New Roman" w:cs="Times New Roman"/>
      <w:kern w:val="0"/>
      <w:sz w:val="24"/>
      <w:szCs w:val="24"/>
      <w:lang w:eastAsia="en-US"/>
    </w:rPr>
  </w:style>
  <w:style w:type="paragraph" w:styleId="a7">
    <w:name w:val="caption"/>
    <w:basedOn w:val="a"/>
    <w:next w:val="a"/>
    <w:uiPriority w:val="35"/>
    <w:unhideWhenUsed/>
    <w:qFormat/>
    <w:rsid w:val="00504756"/>
    <w:rPr>
      <w:rFonts w:asciiTheme="majorHAnsi" w:eastAsia="黑体" w:hAnsiTheme="majorHAnsi" w:cstheme="majorBidi"/>
      <w:sz w:val="20"/>
      <w:szCs w:val="20"/>
    </w:rPr>
  </w:style>
  <w:style w:type="paragraph" w:customStyle="1" w:styleId="IAHRtext">
    <w:name w:val="IAHR_text"/>
    <w:basedOn w:val="a"/>
    <w:link w:val="IAHRtext0"/>
    <w:qFormat/>
    <w:rsid w:val="00504756"/>
    <w:pPr>
      <w:widowControl/>
      <w:spacing w:before="120"/>
    </w:pPr>
    <w:rPr>
      <w:rFonts w:ascii="Times New Roman" w:eastAsia="Times New Roman" w:hAnsi="Times New Roman" w:cs="Times New Roman"/>
      <w:kern w:val="0"/>
      <w:sz w:val="22"/>
      <w:lang w:eastAsia="pl-PL"/>
    </w:rPr>
  </w:style>
  <w:style w:type="character" w:customStyle="1" w:styleId="IAHRtext0">
    <w:name w:val="IAHR_text 字符"/>
    <w:basedOn w:val="a0"/>
    <w:link w:val="IAHRtext"/>
    <w:rsid w:val="00504756"/>
    <w:rPr>
      <w:rFonts w:ascii="Times New Roman" w:eastAsia="Times New Roman" w:hAnsi="Times New Roman" w:cs="Times New Roman"/>
      <w:kern w:val="0"/>
      <w:sz w:val="22"/>
      <w:lang w:eastAsia="pl-PL"/>
    </w:rPr>
  </w:style>
  <w:style w:type="character" w:styleId="a8">
    <w:name w:val="line number"/>
    <w:basedOn w:val="a0"/>
    <w:uiPriority w:val="99"/>
    <w:semiHidden/>
    <w:unhideWhenUsed/>
    <w:rsid w:val="00FD25C2"/>
  </w:style>
  <w:style w:type="table" w:customStyle="1" w:styleId="1">
    <w:name w:val="三线表1"/>
    <w:basedOn w:val="a1"/>
    <w:uiPriority w:val="99"/>
    <w:rsid w:val="00CD5435"/>
    <w:rPr>
      <w:rFonts w:eastAsia="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9">
    <w:name w:val="Hyperlink"/>
    <w:uiPriority w:val="99"/>
    <w:rsid w:val="00E16523"/>
    <w:rPr>
      <w:color w:val="0000FF"/>
      <w:u w:val="single"/>
    </w:rPr>
  </w:style>
  <w:style w:type="paragraph" w:styleId="aa">
    <w:name w:val="Title"/>
    <w:basedOn w:val="a"/>
    <w:next w:val="a"/>
    <w:link w:val="ab"/>
    <w:uiPriority w:val="10"/>
    <w:qFormat/>
    <w:rsid w:val="009438ED"/>
    <w:pPr>
      <w:widowControl/>
      <w:contextualSpacing/>
      <w:jc w:val="center"/>
    </w:pPr>
    <w:rPr>
      <w:rFonts w:ascii="Times New Roman" w:eastAsiaTheme="majorEastAsia" w:hAnsi="Times New Roman" w:cstheme="majorBidi"/>
      <w:b/>
      <w:spacing w:val="-10"/>
      <w:kern w:val="28"/>
      <w:sz w:val="28"/>
      <w:szCs w:val="56"/>
      <w:lang w:eastAsia="en-US"/>
    </w:rPr>
  </w:style>
  <w:style w:type="character" w:customStyle="1" w:styleId="ab">
    <w:name w:val="标题 字符"/>
    <w:basedOn w:val="a0"/>
    <w:link w:val="aa"/>
    <w:uiPriority w:val="10"/>
    <w:rsid w:val="009438ED"/>
    <w:rPr>
      <w:rFonts w:ascii="Times New Roman" w:eastAsiaTheme="majorEastAsia" w:hAnsi="Times New Roman" w:cstheme="majorBidi"/>
      <w:b/>
      <w:spacing w:val="-10"/>
      <w:kern w:val="28"/>
      <w:sz w:val="28"/>
      <w:szCs w:val="56"/>
      <w:lang w:eastAsia="en-US"/>
    </w:rPr>
  </w:style>
  <w:style w:type="paragraph" w:styleId="ac">
    <w:name w:val="Revision"/>
    <w:hidden/>
    <w:uiPriority w:val="99"/>
    <w:semiHidden/>
    <w:rsid w:val="005D7AF7"/>
  </w:style>
  <w:style w:type="paragraph" w:styleId="ad">
    <w:name w:val="Normal (Web)"/>
    <w:basedOn w:val="a"/>
    <w:link w:val="ae"/>
    <w:uiPriority w:val="99"/>
    <w:unhideWhenUsed/>
    <w:rsid w:val="001948F5"/>
    <w:pPr>
      <w:widowControl/>
      <w:spacing w:before="100" w:beforeAutospacing="1" w:after="100" w:afterAutospacing="1"/>
      <w:jc w:val="left"/>
    </w:pPr>
    <w:rPr>
      <w:rFonts w:ascii="宋体" w:eastAsia="宋体" w:hAnsi="宋体" w:cs="宋体"/>
      <w:kern w:val="0"/>
      <w:sz w:val="24"/>
      <w:szCs w:val="24"/>
    </w:rPr>
  </w:style>
  <w:style w:type="character" w:customStyle="1" w:styleId="ae">
    <w:name w:val="普通(网站) 字符"/>
    <w:basedOn w:val="a0"/>
    <w:link w:val="ad"/>
    <w:uiPriority w:val="99"/>
    <w:rsid w:val="001948F5"/>
    <w:rPr>
      <w:rFonts w:ascii="宋体" w:eastAsia="宋体" w:hAnsi="宋体" w:cs="宋体"/>
      <w:kern w:val="0"/>
      <w:sz w:val="24"/>
      <w:szCs w:val="24"/>
    </w:rPr>
  </w:style>
  <w:style w:type="character" w:styleId="af">
    <w:name w:val="Placeholder Text"/>
    <w:basedOn w:val="a0"/>
    <w:uiPriority w:val="99"/>
    <w:semiHidden/>
    <w:rsid w:val="003F2BA0"/>
    <w:rPr>
      <w:color w:val="666666"/>
    </w:rPr>
  </w:style>
  <w:style w:type="paragraph" w:customStyle="1" w:styleId="IAHRfigure">
    <w:name w:val="IAHR_figure"/>
    <w:basedOn w:val="IAHRtext"/>
    <w:link w:val="IAHRfigure0"/>
    <w:qFormat/>
    <w:rsid w:val="005923CB"/>
    <w:pPr>
      <w:jc w:val="center"/>
    </w:pPr>
    <w:rPr>
      <w:noProof/>
    </w:rPr>
  </w:style>
  <w:style w:type="character" w:customStyle="1" w:styleId="MTEquationSection">
    <w:name w:val="MTEquationSection"/>
    <w:basedOn w:val="a0"/>
    <w:rsid w:val="009838D4"/>
    <w:rPr>
      <w:rFonts w:ascii="Calibri" w:hAnsi="Calibri" w:cs="Calibri"/>
      <w:b/>
      <w:bCs/>
      <w:vanish/>
      <w:color w:val="FF0000"/>
      <w:sz w:val="28"/>
      <w:szCs w:val="28"/>
    </w:rPr>
  </w:style>
  <w:style w:type="paragraph" w:customStyle="1" w:styleId="MTDisplayEquation">
    <w:name w:val="MTDisplayEquation"/>
    <w:basedOn w:val="IAHRfigure"/>
    <w:next w:val="a"/>
    <w:link w:val="MTDisplayEquation0"/>
    <w:rsid w:val="009838D4"/>
    <w:pPr>
      <w:tabs>
        <w:tab w:val="center" w:pos="4160"/>
        <w:tab w:val="right" w:pos="8300"/>
      </w:tabs>
      <w:spacing w:line="480" w:lineRule="auto"/>
      <w:jc w:val="left"/>
    </w:pPr>
    <w:rPr>
      <w:rFonts w:ascii="Calibri" w:hAnsi="Calibri" w:cs="Calibri"/>
      <w:shd w:val="clear" w:color="auto" w:fill="FCFCFC"/>
    </w:rPr>
  </w:style>
  <w:style w:type="character" w:customStyle="1" w:styleId="IAHRfigure0">
    <w:name w:val="IAHR_figure 字符"/>
    <w:basedOn w:val="IAHRtext0"/>
    <w:link w:val="IAHRfigure"/>
    <w:rsid w:val="009838D4"/>
    <w:rPr>
      <w:rFonts w:ascii="Times New Roman" w:eastAsia="Times New Roman" w:hAnsi="Times New Roman" w:cs="Times New Roman"/>
      <w:noProof/>
      <w:kern w:val="0"/>
      <w:sz w:val="22"/>
      <w:lang w:eastAsia="pl-PL"/>
    </w:rPr>
  </w:style>
  <w:style w:type="character" w:customStyle="1" w:styleId="MTDisplayEquation0">
    <w:name w:val="MTDisplayEquation 字符"/>
    <w:basedOn w:val="IAHRfigure0"/>
    <w:link w:val="MTDisplayEquation"/>
    <w:rsid w:val="009838D4"/>
    <w:rPr>
      <w:rFonts w:ascii="Calibri" w:eastAsia="Times New Roman" w:hAnsi="Calibri" w:cs="Calibri"/>
      <w:noProof/>
      <w:kern w:val="0"/>
      <w:sz w:val="22"/>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2023">
      <w:bodyDiv w:val="1"/>
      <w:marLeft w:val="0"/>
      <w:marRight w:val="0"/>
      <w:marTop w:val="0"/>
      <w:marBottom w:val="0"/>
      <w:divBdr>
        <w:top w:val="none" w:sz="0" w:space="0" w:color="auto"/>
        <w:left w:val="none" w:sz="0" w:space="0" w:color="auto"/>
        <w:bottom w:val="none" w:sz="0" w:space="0" w:color="auto"/>
        <w:right w:val="none" w:sz="0" w:space="0" w:color="auto"/>
      </w:divBdr>
    </w:div>
    <w:div w:id="1381126645">
      <w:bodyDiv w:val="1"/>
      <w:marLeft w:val="0"/>
      <w:marRight w:val="0"/>
      <w:marTop w:val="0"/>
      <w:marBottom w:val="0"/>
      <w:divBdr>
        <w:top w:val="none" w:sz="0" w:space="0" w:color="auto"/>
        <w:left w:val="none" w:sz="0" w:space="0" w:color="auto"/>
        <w:bottom w:val="none" w:sz="0" w:space="0" w:color="auto"/>
        <w:right w:val="none" w:sz="0" w:space="0" w:color="auto"/>
      </w:divBdr>
      <w:divsChild>
        <w:div w:id="1256672617">
          <w:marLeft w:val="0"/>
          <w:marRight w:val="0"/>
          <w:marTop w:val="0"/>
          <w:marBottom w:val="0"/>
          <w:divBdr>
            <w:top w:val="none" w:sz="0" w:space="0" w:color="auto"/>
            <w:left w:val="none" w:sz="0" w:space="0" w:color="auto"/>
            <w:bottom w:val="none" w:sz="0" w:space="0" w:color="auto"/>
            <w:right w:val="none" w:sz="0" w:space="0" w:color="auto"/>
          </w:divBdr>
          <w:divsChild>
            <w:div w:id="101730461">
              <w:marLeft w:val="0"/>
              <w:marRight w:val="0"/>
              <w:marTop w:val="0"/>
              <w:marBottom w:val="0"/>
              <w:divBdr>
                <w:top w:val="none" w:sz="0" w:space="0" w:color="auto"/>
                <w:left w:val="none" w:sz="0" w:space="0" w:color="auto"/>
                <w:bottom w:val="none" w:sz="0" w:space="0" w:color="auto"/>
                <w:right w:val="none" w:sz="0" w:space="0" w:color="auto"/>
              </w:divBdr>
              <w:divsChild>
                <w:div w:id="1640306376">
                  <w:marLeft w:val="0"/>
                  <w:marRight w:val="0"/>
                  <w:marTop w:val="0"/>
                  <w:marBottom w:val="0"/>
                  <w:divBdr>
                    <w:top w:val="none" w:sz="0" w:space="0" w:color="auto"/>
                    <w:left w:val="none" w:sz="0" w:space="0" w:color="auto"/>
                    <w:bottom w:val="none" w:sz="0" w:space="0" w:color="auto"/>
                    <w:right w:val="none" w:sz="0" w:space="0" w:color="auto"/>
                  </w:divBdr>
                  <w:divsChild>
                    <w:div w:id="1262907072">
                      <w:marLeft w:val="0"/>
                      <w:marRight w:val="0"/>
                      <w:marTop w:val="0"/>
                      <w:marBottom w:val="0"/>
                      <w:divBdr>
                        <w:top w:val="none" w:sz="0" w:space="0" w:color="auto"/>
                        <w:left w:val="none" w:sz="0" w:space="0" w:color="auto"/>
                        <w:bottom w:val="none" w:sz="0" w:space="0" w:color="auto"/>
                        <w:right w:val="none" w:sz="0" w:space="0" w:color="auto"/>
                      </w:divBdr>
                      <w:divsChild>
                        <w:div w:id="1654603012">
                          <w:marLeft w:val="0"/>
                          <w:marRight w:val="0"/>
                          <w:marTop w:val="180"/>
                          <w:marBottom w:val="0"/>
                          <w:divBdr>
                            <w:top w:val="none" w:sz="0" w:space="0" w:color="auto"/>
                            <w:left w:val="none" w:sz="0" w:space="0" w:color="auto"/>
                            <w:bottom w:val="none" w:sz="0" w:space="0" w:color="auto"/>
                            <w:right w:val="none" w:sz="0" w:space="0" w:color="auto"/>
                          </w:divBdr>
                          <w:divsChild>
                            <w:div w:id="2027172423">
                              <w:marLeft w:val="0"/>
                              <w:marRight w:val="0"/>
                              <w:marTop w:val="0"/>
                              <w:marBottom w:val="0"/>
                              <w:divBdr>
                                <w:top w:val="none" w:sz="0" w:space="0" w:color="auto"/>
                                <w:left w:val="none" w:sz="0" w:space="0" w:color="auto"/>
                                <w:bottom w:val="none" w:sz="0" w:space="0" w:color="auto"/>
                                <w:right w:val="none" w:sz="0" w:space="0" w:color="auto"/>
                              </w:divBdr>
                              <w:divsChild>
                                <w:div w:id="6154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28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fontTable" Target="fontTable.xml"/><Relationship Id="rId21" Type="http://schemas.openxmlformats.org/officeDocument/2006/relationships/oleObject" Target="embeddings/oleObject7.bin"/><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png"/><Relationship Id="rId35" Type="http://schemas.openxmlformats.org/officeDocument/2006/relationships/footer" Target="footer1.xml"/><Relationship Id="rId8" Type="http://schemas.openxmlformats.org/officeDocument/2006/relationships/image" Target="media/image2.wmf"/><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8F2CC-1626-4688-B0EE-4182DA1C9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1336</Words>
  <Characters>8245</Characters>
  <Application>Microsoft Office Word</Application>
  <DocSecurity>0</DocSecurity>
  <Lines>124</Lines>
  <Paragraphs>32</Paragraphs>
  <ScaleCrop>false</ScaleCrop>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Meiman Zhang</dc:creator>
  <cp:keywords/>
  <dc:description/>
  <cp:lastModifiedBy>meiman zhang</cp:lastModifiedBy>
  <cp:revision>29</cp:revision>
  <dcterms:created xsi:type="dcterms:W3CDTF">2025-12-16T11:23:00Z</dcterms:created>
  <dcterms:modified xsi:type="dcterms:W3CDTF">2026-10-13T08:35:00Z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