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NovaCart Company Report</w:t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 Company Overview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NovaCart Global Commerce is a diversified, technology-driven organization operating across consumer electronics, smart home devices, wearables, and subscription-based services. The company positions itself as an integrated commerce platform combining hardware innovation with recurring digital services to create a connected customer ecosystem. Its portfolio reflects a strategy focused on high-growth consumer technology categories supported by global reach and scalable subscription revenue models 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NovaCart_Product_Catalog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NovaCart’s offerings are designed to address modern consumer needs such as connectivity, automation, mobility, and convenience. By spanning both physical products and services, the company demonstrates a hybrid business model that balances one-time product sales with predictable, recurring revenue streams..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 Business Model and Strategy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NovaCart operates a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product-plus-subscription business model</w:t>
      </w:r>
      <w:r w:rsidDel="00000000" w:rsidR="00000000" w:rsidRPr="00000000">
        <w:rPr>
          <w:rFonts w:ascii="Play" w:cs="Play" w:eastAsia="Play" w:hAnsi="Play"/>
          <w:rtl w:val="0"/>
        </w:rPr>
        <w:t xml:space="preserve">, leveraging premium hardware sales to acquire customers and subscription services to generate stable, recurring revenue. This approach reduces dependence on single-transaction sales and strengthens long-term customer relationships.</w:t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diversity of the portfolio also enables cross-selling opportunities, where smartphone or wearable customers can be converted into smart home users or subscription members. This integrated ecosystem strategy enhances switching costs and reinforces brand loyalty.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 Operational and Analytical Maturity</w:t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supporting documentation highlights NovaCart’s emphasis on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data-driven decision-making and operational intelligence</w:t>
      </w:r>
      <w:r w:rsidDel="00000000" w:rsidR="00000000" w:rsidRPr="00000000">
        <w:rPr>
          <w:rFonts w:ascii="Play" w:cs="Play" w:eastAsia="Play" w:hAnsi="Play"/>
          <w:rtl w:val="0"/>
        </w:rPr>
        <w:t xml:space="preserve">, particularly in how leadership metrics are consumed and analyzed. The company scenario describes reliance on weekly metrics such as revenue, conversion rates, churn, and service-level compliance, distributed across multiple internal systems </w:t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context underscores NovaCart’s operational complexity and the need for scalable analytics, automation, and grounded AI-driven insights to support executive decision-making. The emphasis on retrieval-augmented intelligence reflects a broader organizational focus on accuracy, traceability, and governance in reporting.</w:t>
      </w:r>
    </w:p>
    <w:p w:rsidR="00000000" w:rsidDel="00000000" w:rsidP="00000000" w:rsidRDefault="00000000" w:rsidRPr="00000000" w14:paraId="00000011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 Conclusion</w:t>
      </w:r>
    </w:p>
    <w:p w:rsidR="00000000" w:rsidDel="00000000" w:rsidP="00000000" w:rsidRDefault="00000000" w:rsidRPr="00000000" w14:paraId="0000001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NovaCart Global Commerce represents a well-structured, multi-category technology organization with a balanced mix of hardware innovation and subscription-based services. Its product catalog demonstrates deliberate positioning across premium and mid-range segments, while the Essentials subscription provides recurring revenue stability.</w:t>
      </w:r>
    </w:p>
    <w:p w:rsidR="00000000" w:rsidDel="00000000" w:rsidP="00000000" w:rsidRDefault="00000000" w:rsidRPr="00000000" w14:paraId="0000001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From an organizational perspective, NovaCart’s documented focus on metrics intelligence and grounded analytics signals maturity in enterprise operations and a forward-looking approach to AI-assisted decision support. Overall, NovaCart exemplifies a modern commerce model built on ecosystem integration, data-driven management, and scalable global offerings .</w:t>
      </w:r>
    </w:p>
    <w:p w:rsidR="00000000" w:rsidDel="00000000" w:rsidP="00000000" w:rsidRDefault="00000000" w:rsidRPr="00000000" w14:paraId="0000001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Play" w:cs="Play" w:eastAsia="Play" w:hAnsi="Play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2"/>
          <w:szCs w:val="32"/>
          <w:u w:val="single"/>
          <w:rtl w:val="0"/>
        </w:rPr>
        <w:t xml:space="preserve">Annexure</w:t>
      </w:r>
    </w:p>
    <w:p w:rsidR="00000000" w:rsidDel="00000000" w:rsidP="00000000" w:rsidRDefault="00000000" w:rsidRPr="00000000" w14:paraId="00000022">
      <w:pPr>
        <w:jc w:val="center"/>
        <w:rPr>
          <w:rFonts w:ascii="Play" w:cs="Play" w:eastAsia="Play" w:hAnsi="Play"/>
          <w:b w:val="1"/>
          <w:bCs w:val="1"/>
          <w:u w:val="single"/>
        </w:rPr>
      </w:pPr>
      <w:r w:rsidDel="00000000" w:rsidR="00000000" w:rsidRPr="00000000">
        <w:rPr>
          <w:rFonts w:ascii="Play" w:cs="Play" w:eastAsia="Play" w:hAnsi="Play"/>
          <w:b w:val="1"/>
          <w:bCs w:val="1"/>
          <w:u w:val="single"/>
          <w:rtl w:val="0"/>
        </w:rPr>
        <w:t xml:space="preserve">NovaCart Global Commerce – Annual Report 2024</w:t>
      </w:r>
    </w:p>
    <w:p w:rsidR="00000000" w:rsidDel="00000000" w:rsidP="00000000" w:rsidRDefault="00000000" w:rsidRPr="00000000" w14:paraId="00000023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Financial Year: FY2024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1. Financial Highlights (FY2024)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Revenue: USD 2.84 billion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Year-on-Year Growth: 18.6%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 41.2%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Margin: 19.4%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Profit: USD 412 million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Customers: 9.6 million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Churn (NovaCart Essentials): 4.1% </w:t>
      </w:r>
    </w:p>
    <w:p w:rsidR="00000000" w:rsidDel="00000000" w:rsidP="00000000" w:rsidRDefault="00000000" w:rsidRPr="00000000" w14:paraId="0000002E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 Revenue Breakdown by Business Segment</w:t>
      </w:r>
    </w:p>
    <w:p w:rsidR="00000000" w:rsidDel="00000000" w:rsidP="00000000" w:rsidRDefault="00000000" w:rsidRPr="00000000" w14:paraId="00000030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2.1 Segment Revenue Summary</w:t>
      </w:r>
    </w:p>
    <w:tbl>
      <w:tblPr>
        <w:tblStyle w:val="Table1"/>
        <w:tblW w:w="7283.000000000001" w:type="dxa"/>
        <w:jc w:val="left"/>
        <w:tblLayout w:type="fixed"/>
        <w:tblLook w:val="0400"/>
      </w:tblPr>
      <w:tblGrid>
        <w:gridCol w:w="3408"/>
        <w:gridCol w:w="2099"/>
        <w:gridCol w:w="1776"/>
        <w:tblGridChange w:id="0">
          <w:tblGrid>
            <w:gridCol w:w="3408"/>
            <w:gridCol w:w="2099"/>
            <w:gridCol w:w="17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FY2024 Revenue (USD)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of Total Revenue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Consumer Electronics (NovaPhone X1)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1.62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Smart Home Devices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486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Wearables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398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Subscription 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336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Revenue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2.84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2.2 Consumer Electronics Performance</w:t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NovaPhone X1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remained NovaCart’s primary revenue driver.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~1.9 million devices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 Selling Price (ASP):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1.62 billion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Strong demand was driven by premium specifications, 5G adoption, and multi-tier storage pricing, positioning the product competitively in the mid-to-premium smartphone segment.</w:t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2.3 Smart Home Devices Performance</w:t>
      </w:r>
    </w:p>
    <w:p w:rsidR="00000000" w:rsidDel="00000000" w:rsidP="00000000" w:rsidRDefault="00000000" w:rsidRPr="00000000" w14:paraId="0000004D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NovaHome SmartHub Pro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showed steady adoption as smart home penetration increased globally.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~2.1 million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486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Cross-compatibility with major ecosystems (Alexa, Google Home, Apple HomeKit) supported wider customer adoption and reduced integration friction.</w:t>
      </w:r>
    </w:p>
    <w:p w:rsidR="00000000" w:rsidDel="00000000" w:rsidP="00000000" w:rsidRDefault="00000000" w:rsidRPr="00000000" w14:paraId="00000054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2.4 Wearables Performance</w:t>
      </w:r>
    </w:p>
    <w:p w:rsidR="00000000" w:rsidDel="00000000" w:rsidP="00000000" w:rsidRDefault="00000000" w:rsidRPr="00000000" w14:paraId="00000056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NovaFit Active Watch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performed strongly in the fitness and wellness segment.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~1.35 million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398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Demand was driven by extended battery life, multi-sensor health tracking, and cross-platform OS compatibility.</w:t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2.5 Subscription Services Performance</w:t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NovaCart Essentials Subscription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 provided stable recurring revenue and high retention.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Subscribers (FY-End): 2.3 million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ARPU: USD 146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 USD 336 million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Churn Rate: 4.1%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 72%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Subscription revenue grew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31% YoY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supported by bundled discounts, priority support, and global coverage.</w:t>
      </w:r>
    </w:p>
    <w:p w:rsidR="00000000" w:rsidDel="00000000" w:rsidP="00000000" w:rsidRDefault="00000000" w:rsidRPr="00000000" w14:paraId="00000067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3. Cost Structure and Profitability</w:t>
      </w:r>
    </w:p>
    <w:p w:rsidR="00000000" w:rsidDel="00000000" w:rsidP="00000000" w:rsidRDefault="00000000" w:rsidRPr="00000000" w14:paraId="00000069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3.1 Cost Breakdown</w:t>
      </w:r>
    </w:p>
    <w:tbl>
      <w:tblPr>
        <w:tblStyle w:val="Table2"/>
        <w:tblW w:w="4999.0" w:type="dxa"/>
        <w:jc w:val="left"/>
        <w:tblLayout w:type="fixed"/>
        <w:tblLook w:val="0400"/>
      </w:tblPr>
      <w:tblGrid>
        <w:gridCol w:w="2435"/>
        <w:gridCol w:w="1269"/>
        <w:gridCol w:w="1295"/>
        <w:tblGridChange w:id="0">
          <w:tblGrid>
            <w:gridCol w:w="2435"/>
            <w:gridCol w:w="1269"/>
            <w:gridCol w:w="12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FY2024 (USD)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of Goods Sold (COGS)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1.67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R&amp;D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298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 &amp;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341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&amp; Administrative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9.8%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Operating Costs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2.59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ay" w:cs="Play" w:eastAsia="Play" w:hAnsi="Play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91.1%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3.2 Profit Summary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Profit: USD 1.17 billion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Profit: USD 551 million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Profit: USD 412 million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Earnings per Revenue Dollar: 14.5%</w:t>
      </w:r>
    </w:p>
    <w:p w:rsidR="00000000" w:rsidDel="00000000" w:rsidP="00000000" w:rsidRDefault="00000000" w:rsidRPr="00000000" w14:paraId="00000082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Margin expansion was primarily driven by: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subscription mix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supply chain efficiency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Software-enabled ecosystem synergies</w:t>
      </w:r>
    </w:p>
    <w:p w:rsidR="00000000" w:rsidDel="00000000" w:rsidP="00000000" w:rsidRDefault="00000000" w:rsidRPr="00000000" w14:paraId="00000087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4. Key Operational Metrics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Lifetime Value (Blended): USD 1,420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Acquisition Cost: USD 184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Hardware-to-Subscription Conversion Rate: 29%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 Purchase Rate: 41%</w:t>
      </w:r>
    </w:p>
    <w:p w:rsidR="00000000" w:rsidDel="00000000" w:rsidP="00000000" w:rsidRDefault="00000000" w:rsidRPr="00000000" w14:paraId="0000008D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These metrics reflect NovaCart’s effectiveness in converting device customers into long-term ecosystem users.</w:t>
      </w:r>
    </w:p>
    <w:p w:rsidR="00000000" w:rsidDel="00000000" w:rsidP="00000000" w:rsidRDefault="00000000" w:rsidRPr="00000000" w14:paraId="0000008F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5. Outlook and Forward Guidance (FY2025 – Illustrative)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Revenue Growth: 15–18%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Revenue Share Target: &gt;15% of total revenue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Margin Target: 21–22%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Strategic 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of subscription-led services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Deeper device ecosystem integration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automation and AI-driven operational intelligence </w:t>
      </w:r>
    </w:p>
    <w:p w:rsidR="00000000" w:rsidDel="00000000" w:rsidP="00000000" w:rsidRDefault="00000000" w:rsidRPr="00000000" w14:paraId="00000098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Play" w:cs="Play" w:eastAsia="Play" w:hAnsi="Play"/>
          <w:b w:val="1"/>
          <w:bCs w:val="1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6. Conclusion</w:t>
      </w:r>
    </w:p>
    <w:p w:rsidR="00000000" w:rsidDel="00000000" w:rsidP="00000000" w:rsidRDefault="00000000" w:rsidRPr="00000000" w14:paraId="0000009A">
      <w:pPr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NovaCart’s FY2024 performance demonstrates a </w:t>
      </w:r>
      <w:r w:rsidDel="00000000" w:rsidR="00000000" w:rsidRPr="00000000">
        <w:rPr>
          <w:rFonts w:ascii="Play" w:cs="Play" w:eastAsia="Play" w:hAnsi="Play"/>
          <w:b w:val="1"/>
          <w:bCs w:val="1"/>
          <w:sz w:val="20"/>
          <w:szCs w:val="20"/>
          <w:rtl w:val="0"/>
        </w:rPr>
        <w:t xml:space="preserve">balanced and scalable business model</w:t>
      </w: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, combining strong hardware sales with high-margin recurring services. The company’s low subscription churn, diversified revenue base, and improving margins position it favorably for sustained growth. Continued investment in ecosystem integration and data-driven decision intelligence is expected to further enhance profitability and operational resilience.</w:t>
      </w:r>
    </w:p>
    <w:p w:rsidR="00000000" w:rsidDel="00000000" w:rsidP="00000000" w:rsidRDefault="00000000" w:rsidRPr="00000000" w14:paraId="0000009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pgKDOs1BMCchgZ5UxnP9aWbaw==">CgMxLjA4AHIhMXgxY2xXWXpyTFUxSFlPcHBBVE1qc3JSbTZ5ejV3VUFI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