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Ahead-of-Time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Angular app can run on browser -&gt; components and templates has to be converted into executable JavaScript 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Angular App in browser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JiT –&gt; load</w:t>
        <w:tab/>
        <w:t xml:space="preserve">+</w:t>
        <w:tab/>
        <w:t xml:space="preserve">generate code (in browser)</w:t>
        <w:tab/>
        <w:t xml:space="preserve">+</w:t>
        <w:tab/>
        <w:t xml:space="preserve">launch app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AoT -&gt; load generated code</w:t>
        <w:tab/>
        <w:t xml:space="preserve">+  </w:t>
        <w:tab/>
        <w:t xml:space="preserve">launch  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app faster – pre-compile, inline-template, no compiler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Compilation in angular </w:t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>
          <w:rtl w:val="0"/>
        </w:rPr>
        <w:t xml:space="preserve">Input: Everything that we do in angular go through compiler</w:t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>
          <w:rtl w:val="0"/>
        </w:rPr>
        <w:t xml:space="preserve">directives, components, templates, styles, pipes, ngmodules …  </w:t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>
          <w:rtl w:val="0"/>
        </w:rPr>
        <w:t xml:space="preserve">Output:  typescript / js - ngFactory</w:t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/>
        <w:drawing>
          <wp:inline distB="0" distT="0" distL="0" distR="0">
            <wp:extent cx="3026431" cy="2796658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6431" cy="2796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>
          <w:rtl w:val="0"/>
        </w:rPr>
        <w:t xml:space="preserve">Why do AoT compilation?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Faster rendering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ngFactory generated in both JiT and AoT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receives pre-compiled application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Fewer asynchronous requests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Inline external HTML templates and CSS style sheets within the application JavaScript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Smaller angular framework download size – no angular compiler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“node_modules/.bin/source-map-explorer” aot/dest/build.js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298575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30937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 templates earlier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Ex: invalid modal property error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security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0"/>
        </w:tabs>
        <w:spacing w:after="20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>
          <w:rtl w:val="0"/>
        </w:rPr>
        <w:t xml:space="preserve">Reduces injection attract</w:t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>
          <w:rtl w:val="0"/>
        </w:rPr>
        <w:t xml:space="preserve">JiT</w:t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/>
        <w:drawing>
          <wp:inline distB="0" distT="0" distL="0" distR="0">
            <wp:extent cx="5939790" cy="2026285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26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>
          <w:rtl w:val="0"/>
        </w:rPr>
        <w:t xml:space="preserve">AoT</w:t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/>
        <w:drawing>
          <wp:inline distB="0" distT="0" distL="0" distR="0">
            <wp:extent cx="5939790" cy="2106930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0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>
          <w:rtl w:val="0"/>
        </w:rPr>
        <w:t xml:space="preserve">Application does not run eval on client machine -&gt; No risky client-side HTML or JavaScript evaluation</w:t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>
          <w:rtl w:val="0"/>
        </w:rPr>
        <w:t xml:space="preserve">Content-Security-Policy -&gt; blocking the use of eval()</w:t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https://developer.mozilla.org/en-US/docs/Web/HTTP/CSP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2410"/>
        </w:tabs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afafa" w:val="clear"/>
          <w:rtl w:val="0"/>
        </w:rPr>
        <w:t xml:space="preserve">Preparing for </w:t>
      </w:r>
      <w:r w:rsidDel="00000000" w:rsidR="00000000" w:rsidRPr="00000000">
        <w:rPr>
          <w:sz w:val="24"/>
          <w:szCs w:val="24"/>
          <w:rtl w:val="0"/>
        </w:rPr>
        <w:t xml:space="preserve">AoT: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 compiler-cli and  platform-server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583690"/>
            <wp:effectExtent b="0" l="0" r="0" t="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33333"/>
          <w:sz w:val="18"/>
          <w:szCs w:val="18"/>
          <w:u w:val="none"/>
          <w:shd w:fill="f1f1f1" w:val="clear"/>
          <w:vertAlign w:val="baseline"/>
          <w:rtl w:val="0"/>
        </w:rPr>
        <w:t xml:space="preserve">compiler cli config file with  AOT settings -&gt; tsconfig-aot.json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33333"/>
          <w:sz w:val="18"/>
          <w:szCs w:val="18"/>
          <w:u w:val="none"/>
          <w:shd w:fill="f1f1f1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33333"/>
          <w:sz w:val="18"/>
          <w:szCs w:val="18"/>
          <w:u w:val="none"/>
          <w:shd w:fill="f1f1f1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143250" cy="3990975"/>
            <wp:effectExtent b="0" l="0" r="0" t="0"/>
            <wp:docPr id="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33333"/>
          <w:sz w:val="18"/>
          <w:szCs w:val="18"/>
          <w:u w:val="none"/>
          <w:shd w:fill="f1f1f1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33333"/>
          <w:sz w:val="18"/>
          <w:szCs w:val="18"/>
          <w:u w:val="none"/>
          <w:shd w:fill="f1f1f1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33333"/>
          <w:sz w:val="18"/>
          <w:szCs w:val="18"/>
          <w:u w:val="none"/>
          <w:shd w:fill="f1f1f1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33333"/>
          <w:sz w:val="18"/>
          <w:szCs w:val="18"/>
          <w:u w:val="none"/>
          <w:shd w:fill="f1f1f1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33333"/>
          <w:sz w:val="18"/>
          <w:szCs w:val="18"/>
          <w:u w:val="none"/>
          <w:shd w:fill="f1f1f1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33333"/>
          <w:sz w:val="18"/>
          <w:szCs w:val="18"/>
          <w:u w:val="none"/>
          <w:shd w:fill="f1f1f1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33333"/>
          <w:sz w:val="18"/>
          <w:szCs w:val="18"/>
          <w:u w:val="none"/>
          <w:shd w:fill="f1f1f1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33333"/>
          <w:sz w:val="18"/>
          <w:szCs w:val="18"/>
          <w:u w:val="none"/>
          <w:shd w:fill="f1f1f1" w:val="clear"/>
          <w:vertAlign w:val="baseline"/>
          <w:rtl w:val="0"/>
        </w:rPr>
        <w:t xml:space="preserve">AoT 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788670"/>
            <wp:effectExtent b="0" l="0" r="0" t="0"/>
            <wp:docPr id="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Bootstrap AppModuleNgFactory – main-aot.ts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200650" cy="1695450"/>
            <wp:effectExtent b="0" l="0" r="0" t="0"/>
            <wp:docPr id="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AoT approach changes application bootstrapping.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33333"/>
          <w:sz w:val="18"/>
          <w:szCs w:val="18"/>
          <w:u w:val="none"/>
          <w:shd w:fill="f1f1f1" w:val="clear"/>
          <w:vertAlign w:val="baseline"/>
          <w:rtl w:val="0"/>
        </w:rPr>
        <w:t xml:space="preserve">tsconfig-aot.json and recompile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390775" cy="3486150"/>
            <wp:effectExtent b="0" l="0" r="0" t="0"/>
            <wp:docPr id="1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652780"/>
            <wp:effectExtent b="0" l="0" r="0" t="0"/>
            <wp:docPr id="1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rollup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520065"/>
            <wp:effectExtent b="0" l="0" r="0" t="0"/>
            <wp:docPr id="1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roll-up config file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81525" cy="4476750"/>
            <wp:effectExtent b="0" l="0" r="0" t="0"/>
            <wp:docPr id="1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rollup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"node_modules/.bin/rollup"  -c rollup-config.js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477520"/>
            <wp:effectExtent b="0" l="0" r="0" t="0"/>
            <wp:docPr id="1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the AOT distribution files into the aot folder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29125" cy="3343275"/>
            <wp:effectExtent b="0" l="0" r="0" t="0"/>
            <wp:docPr id="1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57700" cy="2343150"/>
            <wp:effectExtent b="0" l="0" r="0" t="0"/>
            <wp:docPr id="1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the bundle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057775" cy="2895600"/>
            <wp:effectExtent b="0" l="0" r="0" t="0"/>
            <wp:docPr id="1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AoT app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209925" cy="2009775"/>
            <wp:effectExtent b="0" l="0" r="0" t="0"/>
            <wp:docPr id="1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color w:val="000000"/>
          <w:sz w:val="18"/>
          <w:szCs w:val="18"/>
        </w:rPr>
      </w:pPr>
      <w:r w:rsidDel="00000000" w:rsidR="00000000" w:rsidRPr="00000000">
        <w:rPr>
          <w:b w:val="1"/>
          <w:color w:val="008000"/>
          <w:sz w:val="18"/>
          <w:szCs w:val="18"/>
          <w:rtl w:val="0"/>
        </w:rPr>
        <w:t xml:space="preserve">CMD -&gt;  </w:t>
      </w:r>
      <w:r w:rsidDel="00000000" w:rsidR="00000000" w:rsidRPr="00000000">
        <w:rPr>
          <w:b w:val="1"/>
          <w:color w:val="008000"/>
          <w:sz w:val="18"/>
          <w:szCs w:val="18"/>
          <w:highlight w:val="yellow"/>
          <w:rtl w:val="0"/>
        </w:rPr>
        <w:t xml:space="preserve">lite-server –c bs-config.aot.json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AoT Dos and Don’ts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https://github.com/rangle/angular-2-aot-sandbox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-US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2.png"/><Relationship Id="rId11" Type="http://schemas.openxmlformats.org/officeDocument/2006/relationships/hyperlink" Target="https://developer.mozilla.org/en-US/docs/Web/HTTP/CSP" TargetMode="External"/><Relationship Id="rId22" Type="http://schemas.openxmlformats.org/officeDocument/2006/relationships/image" Target="media/image34.png"/><Relationship Id="rId10" Type="http://schemas.openxmlformats.org/officeDocument/2006/relationships/image" Target="media/image22.png"/><Relationship Id="rId21" Type="http://schemas.openxmlformats.org/officeDocument/2006/relationships/image" Target="media/image33.png"/><Relationship Id="rId13" Type="http://schemas.openxmlformats.org/officeDocument/2006/relationships/image" Target="media/image24.png"/><Relationship Id="rId24" Type="http://schemas.openxmlformats.org/officeDocument/2006/relationships/image" Target="media/image36.png"/><Relationship Id="rId12" Type="http://schemas.openxmlformats.org/officeDocument/2006/relationships/image" Target="media/image25.png"/><Relationship Id="rId23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15" Type="http://schemas.openxmlformats.org/officeDocument/2006/relationships/image" Target="media/image26.png"/><Relationship Id="rId14" Type="http://schemas.openxmlformats.org/officeDocument/2006/relationships/image" Target="media/image27.png"/><Relationship Id="rId17" Type="http://schemas.openxmlformats.org/officeDocument/2006/relationships/image" Target="media/image28.png"/><Relationship Id="rId16" Type="http://schemas.openxmlformats.org/officeDocument/2006/relationships/image" Target="media/image30.png"/><Relationship Id="rId5" Type="http://schemas.openxmlformats.org/officeDocument/2006/relationships/styles" Target="styles.xml"/><Relationship Id="rId19" Type="http://schemas.openxmlformats.org/officeDocument/2006/relationships/image" Target="media/image31.png"/><Relationship Id="rId6" Type="http://schemas.openxmlformats.org/officeDocument/2006/relationships/image" Target="media/image19.png"/><Relationship Id="rId18" Type="http://schemas.openxmlformats.org/officeDocument/2006/relationships/image" Target="media/image29.png"/><Relationship Id="rId7" Type="http://schemas.openxmlformats.org/officeDocument/2006/relationships/image" Target="media/image21.png"/><Relationship Id="rId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