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الخلية أ١</w:t>
            </w:r>
          </w:p>
        </w:tc>
        <w:tc>
          <w:tcPr>
            <w:tcW w:w="4675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الخلية ب١</w:t>
            </w:r>
          </w:p>
        </w:tc>
      </w:tr>
      <w:tr>
        <w:tc>
          <w:tcPr>
            <w:tcW w:w="4675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الخلية أ٢</w:t>
            </w:r>
          </w:p>
        </w:tc>
        <w:tc>
          <w:tcPr>
            <w:tcW w:w="4675" w:type="dxa"/>
          </w:tcPr>
          <w:p>
            <w:pPr>
              <w:bidi/>
              <w:jc w:val="right"/>
            </w:pPr>
            <w:r>
              <w:rPr>
                <w:rtl/>
              </w:rPr>
              <w:t xml:space="preserve">الخلية ب٢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RtlParagraph">
    <w:name w:val="RTL Paragraph"/>
    <w:basedOn w:val="Normal"/>
    <w:pPr>
      <w:bidi/>
      <w:jc w:val="right"/>
    </w:pPr>
  </w:style>
  <w:style w:type="character" w:customStyle="1" w:styleId="RtlRun">
    <w:name w:val="RTL Run"/>
    <w:basedOn w:val="DefaultParagraphFont"/>
    <w:rPr>
      <w:rtl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с bidiVisual и RTL-текстом в ячейках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